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59563A" w14:textId="77777777" w:rsidR="007C5908" w:rsidRPr="007C3673" w:rsidRDefault="007C5908" w:rsidP="00A410C5">
      <w:pPr>
        <w:shd w:val="clear" w:color="auto" w:fill="FEFEFE"/>
        <w:spacing w:after="0" w:line="240" w:lineRule="auto"/>
        <w:jc w:val="right"/>
        <w:rPr>
          <w:rFonts w:ascii="Times New Roman" w:eastAsia="Times New Roman" w:hAnsi="Times New Roman" w:cs="Times New Roman"/>
          <w:i/>
          <w:iCs/>
          <w:color w:val="000000"/>
          <w:lang w:eastAsia="bg-BG"/>
        </w:rPr>
      </w:pPr>
      <w:bookmarkStart w:id="0" w:name="_GoBack"/>
      <w:bookmarkEnd w:id="0"/>
      <w:r w:rsidRPr="007C3673">
        <w:rPr>
          <w:rFonts w:ascii="Times New Roman" w:eastAsia="Times New Roman" w:hAnsi="Times New Roman" w:cs="Times New Roman"/>
          <w:i/>
          <w:iCs/>
          <w:color w:val="000000"/>
          <w:lang w:eastAsia="bg-BG"/>
        </w:rPr>
        <w:t>Приложение № 2 към чл. 6</w:t>
      </w:r>
    </w:p>
    <w:p w14:paraId="674DF9C3" w14:textId="77777777" w:rsidR="007C5908" w:rsidRPr="007C3673" w:rsidRDefault="007C5908" w:rsidP="00A410C5">
      <w:pPr>
        <w:spacing w:after="0" w:line="240" w:lineRule="auto"/>
        <w:jc w:val="right"/>
        <w:rPr>
          <w:rFonts w:ascii="Times New Roman" w:eastAsia="Times New Roman" w:hAnsi="Times New Roman" w:cs="Times New Roman"/>
          <w:i/>
          <w:iCs/>
          <w:lang w:eastAsia="bg-BG"/>
        </w:rPr>
      </w:pPr>
    </w:p>
    <w:p w14:paraId="35739012" w14:textId="77777777" w:rsidR="007C5908" w:rsidRPr="007C3673" w:rsidRDefault="007C5908" w:rsidP="00A410C5">
      <w:pPr>
        <w:shd w:val="clear" w:color="auto" w:fill="FEFEFE"/>
        <w:spacing w:after="0" w:line="240" w:lineRule="auto"/>
        <w:jc w:val="right"/>
        <w:rPr>
          <w:rFonts w:ascii="Times New Roman" w:eastAsia="Times New Roman" w:hAnsi="Times New Roman" w:cs="Times New Roman"/>
          <w:i/>
          <w:iCs/>
          <w:color w:val="000000"/>
          <w:lang w:eastAsia="bg-BG"/>
        </w:rPr>
      </w:pPr>
      <w:r w:rsidRPr="007C3673">
        <w:rPr>
          <w:rFonts w:ascii="Times New Roman" w:eastAsia="Times New Roman" w:hAnsi="Times New Roman" w:cs="Times New Roman"/>
          <w:i/>
          <w:iCs/>
          <w:color w:val="000000"/>
          <w:lang w:eastAsia="bg-BG"/>
        </w:rPr>
        <w:t>(Изм. - ДВ, бр. 3 от 2006 г., изм. и доп. - ДВ, бр. 3 от 2011 г., изм. и доп. - ДВ, бр. 12 от 2016 г., в сила от 12.02.2016 г., изм. - ДВ, бр. 3 от 2018 г., изм. - ДВ, бр. 31 от 2019 г., в сила от 12.04.2019 г.)</w:t>
      </w:r>
    </w:p>
    <w:p w14:paraId="2D6AE166" w14:textId="77777777" w:rsidR="007C5908" w:rsidRPr="00A410C5" w:rsidRDefault="007C5908" w:rsidP="00A410C5">
      <w:pPr>
        <w:spacing w:after="0" w:line="240" w:lineRule="auto"/>
        <w:jc w:val="both"/>
        <w:rPr>
          <w:rFonts w:ascii="Times New Roman" w:eastAsia="Times New Roman" w:hAnsi="Times New Roman" w:cs="Times New Roman"/>
          <w:sz w:val="24"/>
          <w:szCs w:val="24"/>
          <w:lang w:eastAsia="bg-BG"/>
        </w:rPr>
      </w:pPr>
    </w:p>
    <w:p w14:paraId="7855DE3E" w14:textId="77777777" w:rsidR="007C5908" w:rsidRPr="00A410C5" w:rsidRDefault="007C5908" w:rsidP="00A410C5">
      <w:pPr>
        <w:shd w:val="clear" w:color="auto" w:fill="FEFEFE"/>
        <w:spacing w:after="0" w:line="240" w:lineRule="auto"/>
        <w:jc w:val="center"/>
        <w:rPr>
          <w:rFonts w:ascii="Times New Roman" w:eastAsia="Times New Roman" w:hAnsi="Times New Roman" w:cs="Times New Roman"/>
          <w:b/>
          <w:bCs/>
          <w:color w:val="000000"/>
          <w:sz w:val="28"/>
          <w:szCs w:val="28"/>
          <w:lang w:eastAsia="bg-BG"/>
        </w:rPr>
      </w:pPr>
      <w:r w:rsidRPr="00A410C5">
        <w:rPr>
          <w:rFonts w:ascii="Times New Roman" w:eastAsia="Times New Roman" w:hAnsi="Times New Roman" w:cs="Times New Roman"/>
          <w:b/>
          <w:bCs/>
          <w:color w:val="000000"/>
          <w:sz w:val="28"/>
          <w:szCs w:val="28"/>
          <w:lang w:eastAsia="bg-BG"/>
        </w:rPr>
        <w:t>Информация за преценяване на необходимостта от ОВОС</w:t>
      </w:r>
    </w:p>
    <w:p w14:paraId="113BE8B6" w14:textId="77777777" w:rsidR="007C5908" w:rsidRPr="00A410C5" w:rsidRDefault="007C5908" w:rsidP="00A410C5">
      <w:pPr>
        <w:spacing w:after="0" w:line="240" w:lineRule="auto"/>
        <w:jc w:val="both"/>
        <w:rPr>
          <w:rFonts w:ascii="Times New Roman" w:eastAsia="Times New Roman" w:hAnsi="Times New Roman" w:cs="Times New Roman"/>
          <w:sz w:val="24"/>
          <w:szCs w:val="24"/>
          <w:lang w:eastAsia="bg-BG"/>
        </w:rPr>
      </w:pPr>
    </w:p>
    <w:p w14:paraId="425B4F15" w14:textId="77777777" w:rsidR="007C5908" w:rsidRPr="00D97F1A"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I. Информация за контакт с възложителя:</w:t>
      </w:r>
    </w:p>
    <w:p w14:paraId="43F59E9D" w14:textId="0D5DEC6C" w:rsidR="007C5908" w:rsidRPr="00D97F1A"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1. Име, постоянен адрес, търговско наименование и седалище.</w:t>
      </w:r>
    </w:p>
    <w:p w14:paraId="6743A1B5" w14:textId="4056CEB0" w:rsidR="00A410C5" w:rsidRPr="00A410C5" w:rsidRDefault="00A410C5" w:rsidP="00A410C5">
      <w:pPr>
        <w:shd w:val="clear" w:color="auto" w:fill="FEFEFE"/>
        <w:spacing w:after="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Община Димово, гр. Димово, ул. Георги Димитров № 137</w:t>
      </w:r>
    </w:p>
    <w:p w14:paraId="40D2B98A" w14:textId="5D43FC38" w:rsidR="007C5908" w:rsidRPr="00D97F1A"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2. Пълен пощенски адрес.</w:t>
      </w:r>
    </w:p>
    <w:p w14:paraId="142FD8B9" w14:textId="43F34A82" w:rsidR="00A410C5" w:rsidRPr="00A410C5" w:rsidRDefault="00A410C5" w:rsidP="00A410C5">
      <w:pPr>
        <w:shd w:val="clear" w:color="auto" w:fill="FEFEFE"/>
        <w:spacing w:after="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Гр. Димово, ул. Георги Димитров № 137</w:t>
      </w:r>
    </w:p>
    <w:p w14:paraId="6F24A810" w14:textId="677E3052" w:rsidR="007C5908" w:rsidRPr="00D97F1A"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3. Телефон, факс и e-mail.</w:t>
      </w:r>
    </w:p>
    <w:p w14:paraId="6F10A47C" w14:textId="679E3893" w:rsidR="00A410C5" w:rsidRPr="00A410C5" w:rsidRDefault="00A410C5" w:rsidP="00A410C5">
      <w:pPr>
        <w:shd w:val="clear" w:color="auto" w:fill="FEFEFE"/>
        <w:spacing w:after="0" w:line="240" w:lineRule="auto"/>
        <w:jc w:val="both"/>
        <w:rPr>
          <w:rFonts w:ascii="Times New Roman" w:eastAsia="Times New Roman" w:hAnsi="Times New Roman" w:cs="Times New Roman"/>
          <w:color w:val="000000"/>
          <w:sz w:val="24"/>
          <w:szCs w:val="24"/>
          <w:lang w:val="en-US" w:eastAsia="bg-BG"/>
        </w:rPr>
      </w:pPr>
      <w:r>
        <w:rPr>
          <w:rFonts w:ascii="Times New Roman" w:eastAsia="Times New Roman" w:hAnsi="Times New Roman" w:cs="Times New Roman"/>
          <w:color w:val="000000"/>
          <w:sz w:val="24"/>
          <w:szCs w:val="24"/>
          <w:lang w:eastAsia="bg-BG"/>
        </w:rPr>
        <w:t xml:space="preserve">09341/2260, </w:t>
      </w:r>
      <w:r>
        <w:rPr>
          <w:rFonts w:ascii="Times New Roman" w:eastAsia="Times New Roman" w:hAnsi="Times New Roman" w:cs="Times New Roman"/>
          <w:color w:val="000000"/>
          <w:sz w:val="24"/>
          <w:szCs w:val="24"/>
          <w:lang w:val="en-US" w:eastAsia="bg-BG"/>
        </w:rPr>
        <w:t>obstina_dimovo@abv.bg</w:t>
      </w:r>
    </w:p>
    <w:p w14:paraId="6C507235" w14:textId="3BED4694" w:rsidR="007C5908" w:rsidRPr="00D97F1A"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4. Лице за контакти.</w:t>
      </w:r>
    </w:p>
    <w:p w14:paraId="18B97A2E" w14:textId="24EABFFD" w:rsidR="00A410C5" w:rsidRPr="00A410C5" w:rsidRDefault="00A410C5" w:rsidP="00A410C5">
      <w:pPr>
        <w:shd w:val="clear" w:color="auto" w:fill="FEFEFE"/>
        <w:spacing w:after="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Светослав Венциславов Славчев - кмет</w:t>
      </w:r>
    </w:p>
    <w:p w14:paraId="653A59F5" w14:textId="77777777" w:rsidR="007C5908" w:rsidRPr="00D97F1A"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II. Резюме на инвестиционното предложение:</w:t>
      </w:r>
    </w:p>
    <w:p w14:paraId="0A99EBD7" w14:textId="77777777" w:rsidR="007C5908" w:rsidRPr="00D97F1A"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1. Характеристики на инвестиционното предложение:</w:t>
      </w:r>
    </w:p>
    <w:p w14:paraId="4DF956CB" w14:textId="1CAD1BC8" w:rsidR="007C5908" w:rsidRPr="00D97F1A"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а) размер, засегната площ, параметри, мащабност, обем, производителност, обхват, оформление на инвестиционното предложение в неговата цялост;</w:t>
      </w:r>
    </w:p>
    <w:p w14:paraId="520A1B86" w14:textId="7F01A549" w:rsidR="00A410C5" w:rsidRDefault="00A410C5" w:rsidP="00A410C5">
      <w:pPr>
        <w:pStyle w:val="a4"/>
        <w:jc w:val="both"/>
        <w:rPr>
          <w:rFonts w:ascii="Times New Roman" w:hAnsi="Times New Roman"/>
          <w:sz w:val="24"/>
          <w:szCs w:val="24"/>
          <w:lang w:eastAsia="de-DE"/>
        </w:rPr>
      </w:pPr>
      <w:r w:rsidRPr="005F565E">
        <w:rPr>
          <w:rFonts w:ascii="Times New Roman" w:hAnsi="Times New Roman"/>
          <w:sz w:val="24"/>
          <w:szCs w:val="24"/>
          <w:lang w:eastAsia="de-DE"/>
        </w:rPr>
        <w:t>Площадката на бъдещата ПСОВ е предвидена в ПИ 0672.43.14, местност „Бабуя“, с. Арчар, община Димово. Същият е собственост на Община Димово съгласно Акт за общинска собственост № 77, том 1, рег. № 162 от 25.01.2021 г.</w:t>
      </w:r>
    </w:p>
    <w:p w14:paraId="7D2EEC5C" w14:textId="135824F0" w:rsidR="00A410C5" w:rsidRPr="005F565E" w:rsidRDefault="00A410C5" w:rsidP="00A410C5">
      <w:pPr>
        <w:pStyle w:val="a4"/>
        <w:jc w:val="both"/>
        <w:rPr>
          <w:rFonts w:ascii="Times New Roman" w:hAnsi="Times New Roman"/>
          <w:sz w:val="24"/>
          <w:szCs w:val="24"/>
          <w:lang w:eastAsia="de-DE"/>
        </w:rPr>
      </w:pPr>
      <w:r>
        <w:rPr>
          <w:rFonts w:ascii="Times New Roman" w:hAnsi="Times New Roman"/>
          <w:sz w:val="24"/>
          <w:szCs w:val="24"/>
          <w:lang w:eastAsia="de-DE"/>
        </w:rPr>
        <w:t>Засегнатата площ: е с размер 3018 кв.м.</w:t>
      </w:r>
    </w:p>
    <w:p w14:paraId="02195E19" w14:textId="77777777" w:rsidR="00A410C5" w:rsidRPr="005F565E" w:rsidRDefault="00A410C5" w:rsidP="00A410C5">
      <w:pPr>
        <w:pStyle w:val="a4"/>
        <w:jc w:val="both"/>
        <w:rPr>
          <w:rFonts w:ascii="Times New Roman" w:hAnsi="Times New Roman"/>
          <w:sz w:val="24"/>
          <w:szCs w:val="24"/>
          <w:lang w:eastAsia="de-DE"/>
        </w:rPr>
      </w:pPr>
      <w:r w:rsidRPr="005F565E">
        <w:rPr>
          <w:rFonts w:ascii="Times New Roman" w:hAnsi="Times New Roman"/>
          <w:sz w:val="24"/>
          <w:szCs w:val="24"/>
          <w:lang w:eastAsia="de-DE"/>
        </w:rPr>
        <w:t>Пречиствателната станция за отпадни води на с. Арчар представлява блок-съоръжение, включващо следните съоръжения:</w:t>
      </w:r>
    </w:p>
    <w:p w14:paraId="223B9F14" w14:textId="77777777" w:rsidR="00A410C5" w:rsidRPr="005F565E" w:rsidRDefault="00A410C5" w:rsidP="00A410C5">
      <w:pPr>
        <w:pStyle w:val="a4"/>
        <w:jc w:val="both"/>
        <w:rPr>
          <w:rFonts w:ascii="Times New Roman" w:hAnsi="Times New Roman"/>
          <w:sz w:val="24"/>
          <w:szCs w:val="24"/>
          <w:lang w:eastAsia="de-DE"/>
        </w:rPr>
      </w:pPr>
      <w:r w:rsidRPr="005F565E">
        <w:rPr>
          <w:rFonts w:ascii="Times New Roman" w:hAnsi="Times New Roman"/>
          <w:sz w:val="24"/>
          <w:szCs w:val="24"/>
          <w:lang w:eastAsia="de-DE"/>
        </w:rPr>
        <w:t>-</w:t>
      </w:r>
      <w:r w:rsidRPr="005F565E">
        <w:rPr>
          <w:rFonts w:ascii="Times New Roman" w:hAnsi="Times New Roman"/>
          <w:sz w:val="24"/>
          <w:szCs w:val="24"/>
          <w:lang w:eastAsia="de-DE"/>
        </w:rPr>
        <w:tab/>
        <w:t>Буферен резервоар;</w:t>
      </w:r>
    </w:p>
    <w:p w14:paraId="4DDFFBA4" w14:textId="6CF1456F" w:rsidR="00A410C5" w:rsidRPr="005F565E" w:rsidRDefault="00A410C5" w:rsidP="00A410C5">
      <w:pPr>
        <w:pStyle w:val="a4"/>
        <w:jc w:val="both"/>
        <w:rPr>
          <w:rFonts w:ascii="Times New Roman" w:hAnsi="Times New Roman"/>
          <w:sz w:val="24"/>
          <w:szCs w:val="24"/>
          <w:lang w:eastAsia="de-DE"/>
        </w:rPr>
      </w:pPr>
      <w:r w:rsidRPr="005F565E">
        <w:rPr>
          <w:rFonts w:ascii="Times New Roman" w:hAnsi="Times New Roman"/>
          <w:sz w:val="24"/>
          <w:szCs w:val="24"/>
          <w:lang w:eastAsia="de-DE"/>
        </w:rPr>
        <w:t>-</w:t>
      </w:r>
      <w:r w:rsidRPr="005F565E">
        <w:rPr>
          <w:rFonts w:ascii="Times New Roman" w:hAnsi="Times New Roman"/>
          <w:sz w:val="24"/>
          <w:szCs w:val="24"/>
          <w:lang w:eastAsia="de-DE"/>
        </w:rPr>
        <w:tab/>
        <w:t>Сито с големина на отворите 5 мм;</w:t>
      </w:r>
    </w:p>
    <w:p w14:paraId="24C5A855" w14:textId="77777777" w:rsidR="00A410C5" w:rsidRPr="005F565E" w:rsidRDefault="00A410C5" w:rsidP="00A410C5">
      <w:pPr>
        <w:pStyle w:val="a4"/>
        <w:jc w:val="both"/>
        <w:rPr>
          <w:rFonts w:ascii="Times New Roman" w:hAnsi="Times New Roman"/>
          <w:sz w:val="24"/>
          <w:szCs w:val="24"/>
          <w:lang w:eastAsia="de-DE"/>
        </w:rPr>
      </w:pPr>
      <w:r w:rsidRPr="005F565E">
        <w:rPr>
          <w:rFonts w:ascii="Times New Roman" w:hAnsi="Times New Roman"/>
          <w:sz w:val="24"/>
          <w:szCs w:val="24"/>
          <w:lang w:eastAsia="de-DE"/>
        </w:rPr>
        <w:t>-</w:t>
      </w:r>
      <w:r w:rsidRPr="005F565E">
        <w:rPr>
          <w:rFonts w:ascii="Times New Roman" w:hAnsi="Times New Roman"/>
          <w:sz w:val="24"/>
          <w:szCs w:val="24"/>
          <w:lang w:eastAsia="de-DE"/>
        </w:rPr>
        <w:tab/>
        <w:t>Пясъкозадържател тип "Писта";</w:t>
      </w:r>
    </w:p>
    <w:p w14:paraId="4DD791FB" w14:textId="77777777" w:rsidR="00A410C5" w:rsidRPr="005F565E" w:rsidRDefault="00A410C5" w:rsidP="00A410C5">
      <w:pPr>
        <w:pStyle w:val="a4"/>
        <w:jc w:val="both"/>
        <w:rPr>
          <w:rFonts w:ascii="Times New Roman" w:hAnsi="Times New Roman"/>
          <w:sz w:val="24"/>
          <w:szCs w:val="24"/>
          <w:lang w:eastAsia="de-DE"/>
        </w:rPr>
      </w:pPr>
      <w:r w:rsidRPr="005F565E">
        <w:rPr>
          <w:rFonts w:ascii="Times New Roman" w:hAnsi="Times New Roman"/>
          <w:sz w:val="24"/>
          <w:szCs w:val="24"/>
          <w:lang w:eastAsia="de-DE"/>
        </w:rPr>
        <w:t>-</w:t>
      </w:r>
      <w:r w:rsidRPr="005F565E">
        <w:rPr>
          <w:rFonts w:ascii="Times New Roman" w:hAnsi="Times New Roman"/>
          <w:sz w:val="24"/>
          <w:szCs w:val="24"/>
          <w:lang w:eastAsia="de-DE"/>
        </w:rPr>
        <w:tab/>
        <w:t>Еднобасейнова биологична инсталация, работеща на</w:t>
      </w:r>
    </w:p>
    <w:p w14:paraId="62082080" w14:textId="77777777" w:rsidR="00A410C5" w:rsidRPr="005F565E" w:rsidRDefault="00A410C5" w:rsidP="00A410C5">
      <w:pPr>
        <w:pStyle w:val="a4"/>
        <w:jc w:val="both"/>
        <w:rPr>
          <w:rFonts w:ascii="Times New Roman" w:hAnsi="Times New Roman"/>
          <w:sz w:val="24"/>
          <w:szCs w:val="24"/>
          <w:lang w:eastAsia="de-DE"/>
        </w:rPr>
      </w:pPr>
      <w:r w:rsidRPr="005F565E">
        <w:rPr>
          <w:rFonts w:ascii="Times New Roman" w:hAnsi="Times New Roman"/>
          <w:sz w:val="24"/>
          <w:szCs w:val="24"/>
          <w:lang w:eastAsia="de-DE"/>
        </w:rPr>
        <w:t>прекъснат режим на работа и изпълняваща функциите на биобасейн, работещ на режим на слабо утайково натоварване с пълно окисление на излишната активна утайка и на вторичен утаител;</w:t>
      </w:r>
    </w:p>
    <w:p w14:paraId="6CD3B1ED" w14:textId="77777777" w:rsidR="00A410C5" w:rsidRPr="005F565E" w:rsidRDefault="00A410C5" w:rsidP="00A410C5">
      <w:pPr>
        <w:pStyle w:val="a4"/>
        <w:jc w:val="both"/>
        <w:rPr>
          <w:rFonts w:ascii="Times New Roman" w:hAnsi="Times New Roman"/>
          <w:sz w:val="24"/>
          <w:szCs w:val="24"/>
          <w:lang w:eastAsia="de-DE"/>
        </w:rPr>
      </w:pPr>
      <w:r w:rsidRPr="005F565E">
        <w:rPr>
          <w:rFonts w:ascii="Times New Roman" w:hAnsi="Times New Roman"/>
          <w:sz w:val="24"/>
          <w:szCs w:val="24"/>
          <w:lang w:eastAsia="de-DE"/>
        </w:rPr>
        <w:t>-</w:t>
      </w:r>
      <w:r w:rsidRPr="005F565E">
        <w:rPr>
          <w:rFonts w:ascii="Times New Roman" w:hAnsi="Times New Roman"/>
          <w:sz w:val="24"/>
          <w:szCs w:val="24"/>
          <w:lang w:eastAsia="de-DE"/>
        </w:rPr>
        <w:tab/>
        <w:t>Контактен резервоар за обеззаразяване на пречистените отпадъчни води при нужда с натриев хипохлорит;</w:t>
      </w:r>
    </w:p>
    <w:p w14:paraId="105DD2BA" w14:textId="77777777" w:rsidR="00A410C5" w:rsidRPr="005F565E" w:rsidRDefault="00A410C5" w:rsidP="00A410C5">
      <w:pPr>
        <w:pStyle w:val="a4"/>
        <w:jc w:val="both"/>
        <w:rPr>
          <w:rFonts w:ascii="Times New Roman" w:hAnsi="Times New Roman"/>
          <w:sz w:val="24"/>
          <w:szCs w:val="24"/>
          <w:lang w:eastAsia="de-DE"/>
        </w:rPr>
      </w:pPr>
      <w:r w:rsidRPr="005F565E">
        <w:rPr>
          <w:rFonts w:ascii="Times New Roman" w:hAnsi="Times New Roman"/>
          <w:sz w:val="24"/>
          <w:szCs w:val="24"/>
          <w:lang w:eastAsia="de-DE"/>
        </w:rPr>
        <w:t>-</w:t>
      </w:r>
      <w:r w:rsidRPr="005F565E">
        <w:rPr>
          <w:rFonts w:ascii="Times New Roman" w:hAnsi="Times New Roman"/>
          <w:sz w:val="24"/>
          <w:szCs w:val="24"/>
          <w:lang w:eastAsia="de-DE"/>
        </w:rPr>
        <w:tab/>
        <w:t>Силоз за ИАУ - в който се намалява влажността на утайката до 97 %;</w:t>
      </w:r>
    </w:p>
    <w:p w14:paraId="7A69E655" w14:textId="77777777" w:rsidR="00A410C5" w:rsidRPr="005F565E" w:rsidRDefault="00A410C5" w:rsidP="00A410C5">
      <w:pPr>
        <w:pStyle w:val="a4"/>
        <w:jc w:val="both"/>
        <w:rPr>
          <w:rFonts w:ascii="Times New Roman" w:hAnsi="Times New Roman"/>
          <w:sz w:val="24"/>
          <w:szCs w:val="24"/>
          <w:lang w:eastAsia="de-DE"/>
        </w:rPr>
      </w:pPr>
      <w:r w:rsidRPr="005F565E">
        <w:rPr>
          <w:rFonts w:ascii="Times New Roman" w:hAnsi="Times New Roman"/>
          <w:sz w:val="24"/>
          <w:szCs w:val="24"/>
          <w:lang w:eastAsia="de-DE"/>
        </w:rPr>
        <w:t>-</w:t>
      </w:r>
      <w:r w:rsidRPr="005F565E">
        <w:rPr>
          <w:rFonts w:ascii="Times New Roman" w:hAnsi="Times New Roman"/>
          <w:sz w:val="24"/>
          <w:szCs w:val="24"/>
          <w:lang w:eastAsia="de-DE"/>
        </w:rPr>
        <w:tab/>
        <w:t>Сграда утайки с депо утайки.</w:t>
      </w:r>
    </w:p>
    <w:p w14:paraId="380F82B3" w14:textId="77777777" w:rsidR="00A410C5" w:rsidRPr="00A410C5" w:rsidRDefault="00A410C5" w:rsidP="00A410C5">
      <w:pPr>
        <w:shd w:val="clear" w:color="auto" w:fill="FEFEFE"/>
        <w:spacing w:after="0" w:line="240" w:lineRule="auto"/>
        <w:jc w:val="both"/>
        <w:rPr>
          <w:rFonts w:ascii="Times New Roman" w:eastAsia="Times New Roman" w:hAnsi="Times New Roman" w:cs="Times New Roman"/>
          <w:color w:val="000000"/>
          <w:sz w:val="24"/>
          <w:szCs w:val="24"/>
          <w:lang w:eastAsia="bg-BG"/>
        </w:rPr>
      </w:pPr>
    </w:p>
    <w:p w14:paraId="718392B8" w14:textId="0AA39717" w:rsidR="007C5908"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б) взаимовръзка и кумулиране с други съществуващи и/или одобрени инвестиционни предложения;</w:t>
      </w:r>
    </w:p>
    <w:p w14:paraId="40E7F0F2" w14:textId="7CEC8402" w:rsidR="00D97F1A" w:rsidRDefault="00D97F1A"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bookmarkStart w:id="1" w:name="_Hlk63859212"/>
      <w:r w:rsidRPr="00D97F1A">
        <w:rPr>
          <w:rFonts w:ascii="Times New Roman" w:eastAsia="Times New Roman" w:hAnsi="Times New Roman" w:cs="Times New Roman"/>
          <w:b/>
          <w:bCs/>
          <w:color w:val="000000"/>
          <w:sz w:val="24"/>
          <w:szCs w:val="24"/>
          <w:highlight w:val="yellow"/>
          <w:u w:val="single"/>
          <w:lang w:eastAsia="bg-BG"/>
        </w:rPr>
        <w:t>...............................................</w:t>
      </w:r>
    </w:p>
    <w:bookmarkEnd w:id="1"/>
    <w:p w14:paraId="0A35C44C" w14:textId="77777777" w:rsidR="00D97F1A" w:rsidRPr="00D97F1A" w:rsidRDefault="00D97F1A"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p>
    <w:p w14:paraId="5FA0890A" w14:textId="3B931760" w:rsidR="007C5908" w:rsidRPr="00D97F1A"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в) използване на природни ресурси по време на строителството и експлоатацията на земните недра, почвите, водите и на биологичното разнообразие;</w:t>
      </w:r>
    </w:p>
    <w:p w14:paraId="350CB065" w14:textId="77777777" w:rsidR="00A410C5" w:rsidRPr="00A410C5" w:rsidRDefault="00A410C5" w:rsidP="00A410C5">
      <w:pPr>
        <w:pStyle w:val="a4"/>
        <w:jc w:val="both"/>
        <w:rPr>
          <w:rFonts w:ascii="Times New Roman" w:hAnsi="Times New Roman"/>
          <w:sz w:val="24"/>
          <w:szCs w:val="24"/>
        </w:rPr>
      </w:pPr>
      <w:r w:rsidRPr="00A410C5">
        <w:rPr>
          <w:rFonts w:ascii="Times New Roman" w:hAnsi="Times New Roman"/>
          <w:sz w:val="24"/>
          <w:szCs w:val="24"/>
        </w:rPr>
        <w:t xml:space="preserve">За обекта има изготвен инженерно-геоложки доклад за проведени проучвания на площадката, като съгласно него, предвиденото строителство може да се извърши, при спазване на необходимите изисквания. </w:t>
      </w:r>
    </w:p>
    <w:p w14:paraId="42D7D42E" w14:textId="77777777" w:rsidR="00A410C5" w:rsidRPr="00A410C5" w:rsidRDefault="00A410C5" w:rsidP="00A410C5">
      <w:pPr>
        <w:pStyle w:val="a4"/>
        <w:jc w:val="both"/>
        <w:rPr>
          <w:rFonts w:ascii="Times New Roman" w:hAnsi="Times New Roman"/>
          <w:sz w:val="24"/>
          <w:szCs w:val="24"/>
        </w:rPr>
      </w:pPr>
      <w:r w:rsidRPr="00A410C5">
        <w:rPr>
          <w:rFonts w:ascii="Times New Roman" w:hAnsi="Times New Roman"/>
          <w:sz w:val="24"/>
          <w:szCs w:val="24"/>
        </w:rPr>
        <w:lastRenderedPageBreak/>
        <w:t>След извършване на изкопните работи до съответните коти на подложни бетони или  уплътнени насипи, земната основа задължително да се приеме от Проектанта и инженер-геолог, като продължаване на СМР се разрешава само след писмено нареждане.</w:t>
      </w:r>
    </w:p>
    <w:p w14:paraId="6CF3B91B" w14:textId="77777777" w:rsidR="00A410C5" w:rsidRPr="00A410C5" w:rsidRDefault="00A410C5" w:rsidP="00A410C5">
      <w:pPr>
        <w:pStyle w:val="a4"/>
        <w:jc w:val="both"/>
        <w:rPr>
          <w:rFonts w:ascii="Times New Roman" w:hAnsi="Times New Roman"/>
          <w:sz w:val="24"/>
          <w:szCs w:val="24"/>
          <w:u w:val="single"/>
        </w:rPr>
      </w:pPr>
      <w:r w:rsidRPr="00A410C5">
        <w:rPr>
          <w:rFonts w:ascii="Times New Roman" w:hAnsi="Times New Roman"/>
          <w:sz w:val="24"/>
          <w:szCs w:val="24"/>
          <w:u w:val="single"/>
        </w:rPr>
        <w:t>Поради наличие на високи нива на подпочвените води, по време на строителството да се вземат мерки за понижение на мин. 40см под „кота фундиране“.</w:t>
      </w:r>
    </w:p>
    <w:p w14:paraId="16D97DDE" w14:textId="77777777" w:rsidR="00A410C5" w:rsidRPr="00A410C5" w:rsidRDefault="00A410C5" w:rsidP="00A410C5">
      <w:pPr>
        <w:pStyle w:val="a4"/>
        <w:jc w:val="both"/>
        <w:rPr>
          <w:rFonts w:ascii="Times New Roman" w:hAnsi="Times New Roman"/>
          <w:sz w:val="24"/>
          <w:szCs w:val="24"/>
        </w:rPr>
      </w:pPr>
      <w:r w:rsidRPr="00A410C5">
        <w:rPr>
          <w:rFonts w:ascii="Times New Roman" w:hAnsi="Times New Roman"/>
          <w:sz w:val="24"/>
          <w:szCs w:val="24"/>
        </w:rPr>
        <w:t>Условия на фундиране и необходими мероприятия при отделните съоръжения:</w:t>
      </w:r>
    </w:p>
    <w:p w14:paraId="30BE61E0" w14:textId="77777777" w:rsidR="00A410C5" w:rsidRPr="00A410C5" w:rsidRDefault="00A410C5" w:rsidP="00A410C5">
      <w:pPr>
        <w:pStyle w:val="a4"/>
        <w:jc w:val="both"/>
        <w:rPr>
          <w:rFonts w:ascii="Times New Roman" w:hAnsi="Times New Roman"/>
          <w:b/>
          <w:sz w:val="24"/>
          <w:szCs w:val="24"/>
        </w:rPr>
      </w:pPr>
      <w:r w:rsidRPr="00A410C5">
        <w:rPr>
          <w:rFonts w:ascii="Times New Roman" w:hAnsi="Times New Roman"/>
          <w:b/>
          <w:sz w:val="24"/>
          <w:szCs w:val="24"/>
        </w:rPr>
        <w:t>Комбинирано съоръжение:</w:t>
      </w:r>
      <w:r w:rsidRPr="00A410C5">
        <w:rPr>
          <w:rFonts w:ascii="Times New Roman" w:hAnsi="Times New Roman"/>
          <w:sz w:val="24"/>
          <w:szCs w:val="24"/>
        </w:rPr>
        <w:t xml:space="preserve"> кота фундиране е приета к.-5.65 = 31.85м, като се извършва масов изкоп до к.-6.35 = 31.15м, след което да се направи основа от уплътнен насип до нивото на подложния бетон (к.-5.75 = 31.75м). За материал на насипа да се използва трошена скална маса, фракция 0-63 (с до 3% съдържание на прахова и глинеста фракции), като след контрол на изпълнението се приемат характеристики: Е</w:t>
      </w:r>
      <w:r w:rsidRPr="00A410C5">
        <w:rPr>
          <w:rFonts w:ascii="Times New Roman" w:hAnsi="Times New Roman"/>
          <w:sz w:val="24"/>
          <w:szCs w:val="24"/>
          <w:vertAlign w:val="subscript"/>
        </w:rPr>
        <w:t>0</w:t>
      </w:r>
      <w:r w:rsidRPr="00A410C5">
        <w:rPr>
          <w:rFonts w:ascii="Times New Roman" w:hAnsi="Times New Roman"/>
          <w:sz w:val="24"/>
          <w:szCs w:val="24"/>
        </w:rPr>
        <w:t>=30 M</w:t>
      </w:r>
      <w:r w:rsidRPr="00A410C5">
        <w:rPr>
          <w:rFonts w:ascii="Times New Roman" w:hAnsi="Times New Roman"/>
          <w:sz w:val="24"/>
          <w:szCs w:val="24"/>
          <w:lang w:val="en-US"/>
        </w:rPr>
        <w:t>P</w:t>
      </w:r>
      <w:r w:rsidRPr="00A410C5">
        <w:rPr>
          <w:rFonts w:ascii="Times New Roman" w:hAnsi="Times New Roman"/>
          <w:sz w:val="24"/>
          <w:szCs w:val="24"/>
        </w:rPr>
        <w:t>a и R</w:t>
      </w:r>
      <w:r w:rsidRPr="00A410C5">
        <w:rPr>
          <w:rFonts w:ascii="Times New Roman" w:hAnsi="Times New Roman"/>
          <w:sz w:val="24"/>
          <w:szCs w:val="24"/>
          <w:vertAlign w:val="subscript"/>
        </w:rPr>
        <w:t>0</w:t>
      </w:r>
      <w:r w:rsidRPr="00A410C5">
        <w:rPr>
          <w:rFonts w:ascii="Times New Roman" w:hAnsi="Times New Roman"/>
          <w:sz w:val="24"/>
          <w:szCs w:val="24"/>
        </w:rPr>
        <w:t>=0.20 M</w:t>
      </w:r>
      <w:r w:rsidRPr="00A410C5">
        <w:rPr>
          <w:rFonts w:ascii="Times New Roman" w:hAnsi="Times New Roman"/>
          <w:sz w:val="24"/>
          <w:szCs w:val="24"/>
          <w:lang w:val="en-US"/>
        </w:rPr>
        <w:t>P</w:t>
      </w:r>
      <w:r w:rsidRPr="00A410C5">
        <w:rPr>
          <w:rFonts w:ascii="Times New Roman" w:hAnsi="Times New Roman"/>
          <w:sz w:val="24"/>
          <w:szCs w:val="24"/>
        </w:rPr>
        <w:t xml:space="preserve">a. Технология и метод на изпитване на насипи са подробно описани в т. 5.2 от настоящата записка. При наличие на подземни води, да се предвиди непрекъснато водочерпене и понижени, до цялостното изграждане на съоръжението. </w:t>
      </w:r>
    </w:p>
    <w:p w14:paraId="12BD9902" w14:textId="77777777" w:rsidR="00A410C5" w:rsidRPr="00A410C5" w:rsidRDefault="00A410C5" w:rsidP="00A410C5">
      <w:pPr>
        <w:pStyle w:val="a4"/>
        <w:jc w:val="both"/>
        <w:rPr>
          <w:rFonts w:ascii="Times New Roman" w:hAnsi="Times New Roman"/>
          <w:b/>
          <w:sz w:val="24"/>
          <w:szCs w:val="24"/>
        </w:rPr>
      </w:pPr>
      <w:r w:rsidRPr="00A410C5">
        <w:rPr>
          <w:rFonts w:ascii="Times New Roman" w:hAnsi="Times New Roman"/>
          <w:b/>
          <w:sz w:val="24"/>
          <w:szCs w:val="24"/>
        </w:rPr>
        <w:t>Обслужваща сграда:</w:t>
      </w:r>
      <w:r w:rsidRPr="00A410C5">
        <w:rPr>
          <w:rFonts w:ascii="Times New Roman" w:hAnsi="Times New Roman"/>
          <w:sz w:val="24"/>
          <w:szCs w:val="24"/>
        </w:rPr>
        <w:t xml:space="preserve"> кота фундиране е приета к.-1.45 = 33.20м, като се извършва масов изкоп до к.-2.05 = 32.60м, след което да се направи основа от уплътнен насип до нивото на подложния бетон (к.-1.55 = 33.10м). За материал на насипа да се използва трошена скална маса, фракция 0-63 (с до 3% съдържание на прахова и глинеста фракции), като след контрол на изпълнението се приемат характеристики: Е</w:t>
      </w:r>
      <w:r w:rsidRPr="00A410C5">
        <w:rPr>
          <w:rFonts w:ascii="Times New Roman" w:hAnsi="Times New Roman"/>
          <w:sz w:val="24"/>
          <w:szCs w:val="24"/>
          <w:vertAlign w:val="subscript"/>
        </w:rPr>
        <w:t>0</w:t>
      </w:r>
      <w:r w:rsidRPr="00A410C5">
        <w:rPr>
          <w:rFonts w:ascii="Times New Roman" w:hAnsi="Times New Roman"/>
          <w:sz w:val="24"/>
          <w:szCs w:val="24"/>
        </w:rPr>
        <w:t>=30 M</w:t>
      </w:r>
      <w:r w:rsidRPr="00A410C5">
        <w:rPr>
          <w:rFonts w:ascii="Times New Roman" w:hAnsi="Times New Roman"/>
          <w:sz w:val="24"/>
          <w:szCs w:val="24"/>
          <w:lang w:val="en-US"/>
        </w:rPr>
        <w:t>P</w:t>
      </w:r>
      <w:r w:rsidRPr="00A410C5">
        <w:rPr>
          <w:rFonts w:ascii="Times New Roman" w:hAnsi="Times New Roman"/>
          <w:sz w:val="24"/>
          <w:szCs w:val="24"/>
        </w:rPr>
        <w:t>a и R</w:t>
      </w:r>
      <w:r w:rsidRPr="00A410C5">
        <w:rPr>
          <w:rFonts w:ascii="Times New Roman" w:hAnsi="Times New Roman"/>
          <w:sz w:val="24"/>
          <w:szCs w:val="24"/>
          <w:vertAlign w:val="subscript"/>
        </w:rPr>
        <w:t>0</w:t>
      </w:r>
      <w:r w:rsidRPr="00A410C5">
        <w:rPr>
          <w:rFonts w:ascii="Times New Roman" w:hAnsi="Times New Roman"/>
          <w:sz w:val="24"/>
          <w:szCs w:val="24"/>
        </w:rPr>
        <w:t>=0.20 M</w:t>
      </w:r>
      <w:r w:rsidRPr="00A410C5">
        <w:rPr>
          <w:rFonts w:ascii="Times New Roman" w:hAnsi="Times New Roman"/>
          <w:sz w:val="24"/>
          <w:szCs w:val="24"/>
          <w:lang w:val="en-US"/>
        </w:rPr>
        <w:t>P</w:t>
      </w:r>
      <w:r w:rsidRPr="00A410C5">
        <w:rPr>
          <w:rFonts w:ascii="Times New Roman" w:hAnsi="Times New Roman"/>
          <w:sz w:val="24"/>
          <w:szCs w:val="24"/>
        </w:rPr>
        <w:t xml:space="preserve">a. Технология и метод на изпитване на насипи са подробно описани в т. 5.2 от настоящата записка. </w:t>
      </w:r>
    </w:p>
    <w:p w14:paraId="0EA391E9" w14:textId="77777777" w:rsidR="00A410C5" w:rsidRPr="00A410C5" w:rsidRDefault="00A410C5" w:rsidP="00A410C5">
      <w:pPr>
        <w:pStyle w:val="a4"/>
        <w:jc w:val="both"/>
        <w:rPr>
          <w:rFonts w:ascii="Times New Roman" w:hAnsi="Times New Roman"/>
          <w:b/>
          <w:sz w:val="24"/>
          <w:szCs w:val="24"/>
        </w:rPr>
      </w:pPr>
      <w:r w:rsidRPr="00A410C5">
        <w:rPr>
          <w:rFonts w:ascii="Times New Roman" w:hAnsi="Times New Roman"/>
          <w:b/>
          <w:sz w:val="24"/>
          <w:szCs w:val="24"/>
        </w:rPr>
        <w:t>Депо за обезводнени утайки:</w:t>
      </w:r>
      <w:r w:rsidRPr="00A410C5">
        <w:rPr>
          <w:rFonts w:ascii="Times New Roman" w:hAnsi="Times New Roman"/>
          <w:sz w:val="24"/>
          <w:szCs w:val="24"/>
        </w:rPr>
        <w:t xml:space="preserve"> извършва се масов изкоп до к.-2.30 = 32.20м. След уплътнение на земната основа се полага подложен бетон и се изпълнява конструкцията на каналите. Нивата на подложния бетон под дънната плоча се достигат с основа от уплътнен насип.За материал на насипа да се използва трошена скална маса, фракция 0-63 (с до 3% съдържание на прахова и глинеста фракции), като след контрол на изпълнението се приемат характеристики: Е</w:t>
      </w:r>
      <w:r w:rsidRPr="00A410C5">
        <w:rPr>
          <w:rFonts w:ascii="Times New Roman" w:hAnsi="Times New Roman"/>
          <w:sz w:val="24"/>
          <w:szCs w:val="24"/>
          <w:vertAlign w:val="subscript"/>
        </w:rPr>
        <w:t>0</w:t>
      </w:r>
      <w:r w:rsidRPr="00A410C5">
        <w:rPr>
          <w:rFonts w:ascii="Times New Roman" w:hAnsi="Times New Roman"/>
          <w:sz w:val="24"/>
          <w:szCs w:val="24"/>
        </w:rPr>
        <w:t>=30 M</w:t>
      </w:r>
      <w:r w:rsidRPr="00A410C5">
        <w:rPr>
          <w:rFonts w:ascii="Times New Roman" w:hAnsi="Times New Roman"/>
          <w:sz w:val="24"/>
          <w:szCs w:val="24"/>
          <w:lang w:val="en-US"/>
        </w:rPr>
        <w:t>P</w:t>
      </w:r>
      <w:r w:rsidRPr="00A410C5">
        <w:rPr>
          <w:rFonts w:ascii="Times New Roman" w:hAnsi="Times New Roman"/>
          <w:sz w:val="24"/>
          <w:szCs w:val="24"/>
        </w:rPr>
        <w:t>a и R</w:t>
      </w:r>
      <w:r w:rsidRPr="00A410C5">
        <w:rPr>
          <w:rFonts w:ascii="Times New Roman" w:hAnsi="Times New Roman"/>
          <w:sz w:val="24"/>
          <w:szCs w:val="24"/>
          <w:vertAlign w:val="subscript"/>
        </w:rPr>
        <w:t>0</w:t>
      </w:r>
      <w:r w:rsidRPr="00A410C5">
        <w:rPr>
          <w:rFonts w:ascii="Times New Roman" w:hAnsi="Times New Roman"/>
          <w:sz w:val="24"/>
          <w:szCs w:val="24"/>
        </w:rPr>
        <w:t>=0.20 M</w:t>
      </w:r>
      <w:r w:rsidRPr="00A410C5">
        <w:rPr>
          <w:rFonts w:ascii="Times New Roman" w:hAnsi="Times New Roman"/>
          <w:sz w:val="24"/>
          <w:szCs w:val="24"/>
          <w:lang w:val="en-US"/>
        </w:rPr>
        <w:t>P</w:t>
      </w:r>
      <w:r w:rsidRPr="00A410C5">
        <w:rPr>
          <w:rFonts w:ascii="Times New Roman" w:hAnsi="Times New Roman"/>
          <w:sz w:val="24"/>
          <w:szCs w:val="24"/>
        </w:rPr>
        <w:t>a. Технология и метод на изпитване на насипи са подробно описани в т. 5.2 от настоящата записка.</w:t>
      </w:r>
    </w:p>
    <w:p w14:paraId="34214341" w14:textId="77777777" w:rsidR="00A410C5" w:rsidRPr="00A410C5" w:rsidRDefault="00A410C5" w:rsidP="00A410C5">
      <w:pPr>
        <w:pStyle w:val="a4"/>
        <w:jc w:val="both"/>
        <w:rPr>
          <w:rFonts w:ascii="Times New Roman" w:hAnsi="Times New Roman"/>
          <w:sz w:val="24"/>
          <w:szCs w:val="24"/>
        </w:rPr>
      </w:pPr>
      <w:r w:rsidRPr="00A410C5">
        <w:rPr>
          <w:rFonts w:ascii="Times New Roman" w:hAnsi="Times New Roman"/>
          <w:sz w:val="24"/>
          <w:szCs w:val="24"/>
        </w:rPr>
        <w:t xml:space="preserve">Проученият участък попада в зона с интензивност на земетръса от </w:t>
      </w:r>
      <w:r w:rsidRPr="00A410C5">
        <w:rPr>
          <w:rFonts w:ascii="Times New Roman" w:hAnsi="Times New Roman"/>
          <w:sz w:val="24"/>
          <w:szCs w:val="24"/>
          <w:lang w:val="en-US"/>
        </w:rPr>
        <w:t>VII</w:t>
      </w:r>
      <w:r w:rsidRPr="00A410C5">
        <w:rPr>
          <w:rFonts w:ascii="Times New Roman" w:hAnsi="Times New Roman"/>
          <w:sz w:val="24"/>
          <w:szCs w:val="24"/>
        </w:rPr>
        <w:t xml:space="preserve"> степен, по скалата на MSK</w:t>
      </w:r>
      <w:r w:rsidRPr="00A410C5">
        <w:rPr>
          <w:rFonts w:ascii="Times New Roman" w:hAnsi="Times New Roman"/>
          <w:sz w:val="24"/>
          <w:szCs w:val="24"/>
          <w:lang w:val="en-US"/>
        </w:rPr>
        <w:t xml:space="preserve">, </w:t>
      </w:r>
      <w:r w:rsidRPr="00A410C5">
        <w:rPr>
          <w:rFonts w:ascii="Times New Roman" w:hAnsi="Times New Roman"/>
          <w:sz w:val="24"/>
          <w:szCs w:val="24"/>
        </w:rPr>
        <w:t>с прието референтно ускорение 0,</w:t>
      </w:r>
      <w:r w:rsidRPr="00A410C5">
        <w:rPr>
          <w:rFonts w:ascii="Times New Roman" w:hAnsi="Times New Roman"/>
          <w:sz w:val="24"/>
          <w:szCs w:val="24"/>
          <w:lang w:val="en-US"/>
        </w:rPr>
        <w:t xml:space="preserve">11g </w:t>
      </w:r>
      <w:r w:rsidRPr="00A410C5">
        <w:rPr>
          <w:rFonts w:ascii="Times New Roman" w:hAnsi="Times New Roman"/>
          <w:sz w:val="24"/>
          <w:szCs w:val="24"/>
        </w:rPr>
        <w:t xml:space="preserve">(съгл. БДС EN1998-5:2005/NA:2012, 475г. период на повтаряемост). При изчисленията е прието, че земната основа се категоризира като група </w:t>
      </w:r>
      <w:r w:rsidRPr="00A410C5">
        <w:rPr>
          <w:rFonts w:ascii="Times New Roman" w:hAnsi="Times New Roman"/>
          <w:sz w:val="24"/>
          <w:szCs w:val="24"/>
          <w:lang w:val="en-US"/>
        </w:rPr>
        <w:t xml:space="preserve">D, </w:t>
      </w:r>
      <w:r w:rsidRPr="00A410C5">
        <w:rPr>
          <w:rFonts w:ascii="Times New Roman" w:hAnsi="Times New Roman"/>
          <w:sz w:val="24"/>
          <w:szCs w:val="24"/>
        </w:rPr>
        <w:t>и при сеизмичния анализ е приет съответния спектър на реагиране.</w:t>
      </w:r>
    </w:p>
    <w:p w14:paraId="14F48E20" w14:textId="77777777" w:rsidR="00A410C5" w:rsidRPr="00A410C5" w:rsidRDefault="00A410C5" w:rsidP="00A410C5">
      <w:pPr>
        <w:shd w:val="clear" w:color="auto" w:fill="FEFEFE"/>
        <w:spacing w:after="0" w:line="240" w:lineRule="auto"/>
        <w:jc w:val="both"/>
        <w:rPr>
          <w:rFonts w:ascii="Times New Roman" w:eastAsia="Times New Roman" w:hAnsi="Times New Roman" w:cs="Times New Roman"/>
          <w:color w:val="000000"/>
          <w:sz w:val="24"/>
          <w:szCs w:val="24"/>
          <w:lang w:eastAsia="bg-BG"/>
        </w:rPr>
      </w:pPr>
    </w:p>
    <w:p w14:paraId="2CB62990" w14:textId="17637CFD" w:rsidR="007C5908"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г) генериране на отпадъци - видове, количества и начин на третиране, и отпадъчни води;</w:t>
      </w:r>
    </w:p>
    <w:p w14:paraId="5263F8EC" w14:textId="77777777" w:rsidR="00D97F1A" w:rsidRDefault="00D97F1A" w:rsidP="00D97F1A">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5EBEA244" w14:textId="77777777" w:rsidR="00D97F1A" w:rsidRPr="00D97F1A" w:rsidRDefault="00D97F1A"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p>
    <w:p w14:paraId="6365467D" w14:textId="605156FD" w:rsidR="007C5908"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д) замърсяване и вредно въздействие; дискомфорт на околната среда;</w:t>
      </w:r>
    </w:p>
    <w:p w14:paraId="60538177" w14:textId="77777777" w:rsidR="00D97F1A" w:rsidRDefault="00D97F1A" w:rsidP="00D97F1A">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2B831F46" w14:textId="77777777" w:rsidR="00D97F1A" w:rsidRPr="00D97F1A" w:rsidRDefault="00D97F1A"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p>
    <w:p w14:paraId="3F4E06B2" w14:textId="7E9AA58B" w:rsidR="007C5908"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е) риск от големи аварии и/или бедствия, които са свързани с инвестиционното предложение;</w:t>
      </w:r>
    </w:p>
    <w:p w14:paraId="278873FC" w14:textId="77777777" w:rsidR="00D97F1A" w:rsidRDefault="00D97F1A" w:rsidP="00D97F1A">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0DCDB43E" w14:textId="77777777" w:rsidR="00D97F1A" w:rsidRPr="00D97F1A" w:rsidRDefault="00D97F1A"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p>
    <w:p w14:paraId="2F63B9F9" w14:textId="38D64CA2" w:rsidR="007C5908"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ж) рисковете за човешкото здраве поради неблагоприятно въздействие върху факторите на жизнената среда по смисъла на § 1, т. 12 от допълнителните разпоредби на Закона за здравето.</w:t>
      </w:r>
    </w:p>
    <w:p w14:paraId="05F25645" w14:textId="77777777" w:rsidR="00D97F1A" w:rsidRDefault="00D97F1A" w:rsidP="00D97F1A">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1046C4A3" w14:textId="77777777" w:rsidR="00D97F1A" w:rsidRPr="00D97F1A" w:rsidRDefault="00D97F1A"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p>
    <w:p w14:paraId="1FE26119" w14:textId="5E4AC174" w:rsidR="007C5908" w:rsidRPr="00D97F1A"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lastRenderedPageBreak/>
        <w:t>2. Местоположение на площадката, включително необходима площ за временни дейности по време на строителството.</w:t>
      </w:r>
    </w:p>
    <w:p w14:paraId="741067D2" w14:textId="53996B0B" w:rsidR="008503F7" w:rsidRPr="008503F7" w:rsidRDefault="008503F7" w:rsidP="008503F7">
      <w:pPr>
        <w:pStyle w:val="a4"/>
        <w:jc w:val="both"/>
        <w:rPr>
          <w:rFonts w:ascii="Times New Roman" w:hAnsi="Times New Roman"/>
          <w:sz w:val="24"/>
          <w:szCs w:val="24"/>
          <w:shd w:val="clear" w:color="auto" w:fill="FEFEFE"/>
        </w:rPr>
      </w:pPr>
      <w:r w:rsidRPr="008503F7">
        <w:rPr>
          <w:rFonts w:ascii="Times New Roman" w:hAnsi="Times New Roman"/>
          <w:sz w:val="24"/>
          <w:szCs w:val="24"/>
        </w:rPr>
        <w:t xml:space="preserve">Строежът </w:t>
      </w:r>
      <w:r w:rsidRPr="008503F7">
        <w:rPr>
          <w:rFonts w:ascii="Times New Roman" w:hAnsi="Times New Roman"/>
          <w:sz w:val="24"/>
          <w:szCs w:val="24"/>
          <w:lang w:val="en-US"/>
        </w:rPr>
        <w:t xml:space="preserve">e </w:t>
      </w:r>
      <w:r w:rsidRPr="008503F7">
        <w:rPr>
          <w:rFonts w:ascii="Times New Roman" w:hAnsi="Times New Roman"/>
          <w:sz w:val="24"/>
          <w:szCs w:val="24"/>
        </w:rPr>
        <w:t xml:space="preserve">втора категория при условията на чл.137, ал.1, т.2 б) от Закона за устройство на територията и във връзка с чл.4,  ал.(2), точка 4. от </w:t>
      </w:r>
      <w:r w:rsidRPr="008503F7">
        <w:rPr>
          <w:rFonts w:ascii="Times New Roman" w:hAnsi="Times New Roman"/>
          <w:sz w:val="24"/>
          <w:szCs w:val="24"/>
          <w:shd w:val="clear" w:color="auto" w:fill="FEFEFE"/>
        </w:rPr>
        <w:t xml:space="preserve">наредба № 1 от 30 юли 2003 г. за номенклатурата на видовете строежи. </w:t>
      </w:r>
    </w:p>
    <w:p w14:paraId="28AE6CCA"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Теренът е с конкретно предназначение - за ПСОВ съгласно ПУП-ПЗ – отреден за „Терени за площни обекти на ВиК (</w:t>
      </w:r>
      <w:r w:rsidRPr="008503F7">
        <w:rPr>
          <w:rFonts w:ascii="Times New Roman" w:hAnsi="Times New Roman"/>
          <w:b/>
          <w:bCs/>
          <w:sz w:val="24"/>
          <w:szCs w:val="24"/>
        </w:rPr>
        <w:t>Тивк)</w:t>
      </w:r>
      <w:r w:rsidRPr="008503F7">
        <w:rPr>
          <w:rFonts w:ascii="Times New Roman" w:hAnsi="Times New Roman"/>
          <w:sz w:val="24"/>
          <w:szCs w:val="24"/>
        </w:rPr>
        <w:t>“.  Имотът  граничи  на запад и  на север с полски пътища съответно имоти 141 и 142,  на  юг със  земеделски  необработваеми  земи  предвидени  по  ОУП  за  „Терени за добивополезни изкопаеми и кариери“-</w:t>
      </w:r>
      <w:r w:rsidRPr="008503F7">
        <w:rPr>
          <w:rFonts w:ascii="Times New Roman" w:hAnsi="Times New Roman"/>
          <w:b/>
          <w:bCs/>
          <w:sz w:val="24"/>
          <w:szCs w:val="24"/>
        </w:rPr>
        <w:t xml:space="preserve">Тди </w:t>
      </w:r>
      <w:r w:rsidRPr="008503F7">
        <w:rPr>
          <w:rFonts w:ascii="Times New Roman" w:hAnsi="Times New Roman"/>
          <w:sz w:val="24"/>
          <w:szCs w:val="24"/>
        </w:rPr>
        <w:t>имот 1</w:t>
      </w:r>
      <w:r w:rsidRPr="008503F7">
        <w:rPr>
          <w:rFonts w:ascii="Times New Roman" w:hAnsi="Times New Roman"/>
          <w:b/>
          <w:bCs/>
          <w:sz w:val="24"/>
          <w:szCs w:val="24"/>
        </w:rPr>
        <w:t xml:space="preserve"> </w:t>
      </w:r>
      <w:r w:rsidRPr="008503F7">
        <w:rPr>
          <w:rFonts w:ascii="Times New Roman" w:hAnsi="Times New Roman"/>
          <w:sz w:val="24"/>
          <w:szCs w:val="24"/>
        </w:rPr>
        <w:t>в кв. 43, на изток също със  земеделски  необработваема  земя  предвидена  по  ОУП за „Предимно производствена устройствена зона(</w:t>
      </w:r>
      <w:r w:rsidRPr="008503F7">
        <w:rPr>
          <w:rFonts w:ascii="Times New Roman" w:hAnsi="Times New Roman"/>
          <w:b/>
          <w:bCs/>
          <w:sz w:val="24"/>
          <w:szCs w:val="24"/>
        </w:rPr>
        <w:t>Пп)</w:t>
      </w:r>
      <w:r w:rsidRPr="008503F7">
        <w:rPr>
          <w:rFonts w:ascii="Times New Roman" w:hAnsi="Times New Roman"/>
          <w:sz w:val="24"/>
          <w:szCs w:val="24"/>
        </w:rPr>
        <w:t>“ имот 384, кв 43.  На запад през селски път с „Терени за площни обекти на ВиК (</w:t>
      </w:r>
      <w:r w:rsidRPr="008503F7">
        <w:rPr>
          <w:rFonts w:ascii="Times New Roman" w:hAnsi="Times New Roman"/>
          <w:b/>
          <w:bCs/>
          <w:sz w:val="24"/>
          <w:szCs w:val="24"/>
        </w:rPr>
        <w:t>Тивк)</w:t>
      </w:r>
      <w:r w:rsidRPr="008503F7">
        <w:rPr>
          <w:rFonts w:ascii="Times New Roman" w:hAnsi="Times New Roman"/>
          <w:sz w:val="24"/>
          <w:szCs w:val="24"/>
        </w:rPr>
        <w:t xml:space="preserve">“. имот 114, кв.30  – защитна дига към р. Арчар. </w:t>
      </w:r>
    </w:p>
    <w:p w14:paraId="19759CCE" w14:textId="0FB34DF4" w:rsidR="008503F7" w:rsidRPr="008503F7" w:rsidRDefault="008503F7" w:rsidP="008503F7">
      <w:pPr>
        <w:pStyle w:val="a4"/>
        <w:jc w:val="both"/>
        <w:rPr>
          <w:rFonts w:ascii="Times New Roman" w:hAnsi="Times New Roman"/>
          <w:sz w:val="24"/>
          <w:szCs w:val="24"/>
        </w:rPr>
      </w:pPr>
      <w:r>
        <w:rPr>
          <w:rFonts w:ascii="Times New Roman" w:hAnsi="Times New Roman"/>
          <w:sz w:val="24"/>
          <w:szCs w:val="24"/>
        </w:rPr>
        <w:t>1.</w:t>
      </w:r>
      <w:r w:rsidRPr="008503F7">
        <w:rPr>
          <w:rFonts w:ascii="Times New Roman" w:hAnsi="Times New Roman"/>
          <w:sz w:val="24"/>
          <w:szCs w:val="24"/>
        </w:rPr>
        <w:t xml:space="preserve">Предвидено е застрояване в  новоурегулирания  УПИ </w:t>
      </w:r>
      <w:r w:rsidRPr="008503F7">
        <w:rPr>
          <w:rFonts w:ascii="Times New Roman" w:hAnsi="Times New Roman"/>
          <w:sz w:val="24"/>
          <w:szCs w:val="24"/>
          <w:lang w:val="en-US"/>
        </w:rPr>
        <w:t>I-43.14</w:t>
      </w:r>
      <w:r w:rsidRPr="008503F7">
        <w:rPr>
          <w:rFonts w:ascii="Times New Roman" w:hAnsi="Times New Roman"/>
          <w:sz w:val="24"/>
          <w:szCs w:val="24"/>
        </w:rPr>
        <w:t xml:space="preserve"> , кв. 43, съгласно ПУП-ПЗ както следва:</w:t>
      </w:r>
    </w:p>
    <w:p w14:paraId="500D5204" w14:textId="45E26C29"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ab/>
      </w:r>
      <w:r w:rsidRPr="008503F7">
        <w:rPr>
          <w:rFonts w:ascii="Times New Roman" w:hAnsi="Times New Roman"/>
          <w:sz w:val="24"/>
          <w:szCs w:val="24"/>
        </w:rPr>
        <w:tab/>
        <w:t xml:space="preserve">1. </w:t>
      </w:r>
      <w:r>
        <w:rPr>
          <w:rFonts w:ascii="Times New Roman" w:hAnsi="Times New Roman"/>
          <w:sz w:val="24"/>
          <w:szCs w:val="24"/>
        </w:rPr>
        <w:t>1.</w:t>
      </w:r>
      <w:r w:rsidRPr="008503F7">
        <w:rPr>
          <w:rFonts w:ascii="Times New Roman" w:hAnsi="Times New Roman"/>
          <w:sz w:val="24"/>
          <w:szCs w:val="24"/>
        </w:rPr>
        <w:t>Отстояние  от  местния  път  3,00 м</w:t>
      </w:r>
    </w:p>
    <w:p w14:paraId="2A1052B9" w14:textId="52ED1BB4"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ab/>
      </w:r>
      <w:r w:rsidRPr="008503F7">
        <w:rPr>
          <w:rFonts w:ascii="Times New Roman" w:hAnsi="Times New Roman"/>
          <w:sz w:val="24"/>
          <w:szCs w:val="24"/>
        </w:rPr>
        <w:tab/>
      </w:r>
      <w:r>
        <w:rPr>
          <w:rFonts w:ascii="Times New Roman" w:hAnsi="Times New Roman"/>
          <w:sz w:val="24"/>
          <w:szCs w:val="24"/>
        </w:rPr>
        <w:t>1. 2</w:t>
      </w:r>
      <w:r w:rsidRPr="008503F7">
        <w:rPr>
          <w:rFonts w:ascii="Times New Roman" w:hAnsi="Times New Roman"/>
          <w:sz w:val="24"/>
          <w:szCs w:val="24"/>
        </w:rPr>
        <w:t xml:space="preserve">. Сервитута  относно  всички  вътрешни  регулационни  линии  при  заложено  в  матрицата  на  територията  предназначение „Терени за площни обекти на ВиК”- </w:t>
      </w:r>
      <w:r w:rsidRPr="008503F7">
        <w:rPr>
          <w:rFonts w:ascii="Times New Roman" w:hAnsi="Times New Roman"/>
          <w:b/>
          <w:bCs/>
          <w:sz w:val="24"/>
          <w:szCs w:val="24"/>
        </w:rPr>
        <w:t>Тивк</w:t>
      </w:r>
      <w:r w:rsidRPr="008503F7">
        <w:rPr>
          <w:rFonts w:ascii="Times New Roman" w:hAnsi="Times New Roman"/>
          <w:sz w:val="24"/>
          <w:szCs w:val="24"/>
        </w:rPr>
        <w:t xml:space="preserve"> с  е  3,00м. В  централната зона  на западната  имотна  граница  се  предвижда  вход – изход  с  портал. Тук  имотът  има  излаз  чрез  полския  път  до уличната мрежа на с.Арчар. </w:t>
      </w:r>
    </w:p>
    <w:p w14:paraId="4F4252EE" w14:textId="306C9954"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ab/>
      </w:r>
      <w:r w:rsidRPr="008503F7">
        <w:rPr>
          <w:rFonts w:ascii="Times New Roman" w:hAnsi="Times New Roman"/>
          <w:sz w:val="24"/>
          <w:szCs w:val="24"/>
        </w:rPr>
        <w:tab/>
      </w:r>
      <w:r>
        <w:rPr>
          <w:rFonts w:ascii="Times New Roman" w:hAnsi="Times New Roman"/>
          <w:sz w:val="24"/>
          <w:szCs w:val="24"/>
        </w:rPr>
        <w:t xml:space="preserve">1. </w:t>
      </w:r>
      <w:r w:rsidRPr="008503F7">
        <w:rPr>
          <w:rFonts w:ascii="Times New Roman" w:hAnsi="Times New Roman"/>
          <w:sz w:val="24"/>
          <w:szCs w:val="24"/>
        </w:rPr>
        <w:t>3. Въвежда  се  конкретно  предназначение  „За пречиствателна станция за отпадъчни води“.</w:t>
      </w:r>
    </w:p>
    <w:p w14:paraId="3E74587E" w14:textId="5932BEBA"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 xml:space="preserve">2. В границите  на новоурегулирания  УПИ </w:t>
      </w:r>
      <w:r w:rsidRPr="008503F7">
        <w:rPr>
          <w:rFonts w:ascii="Times New Roman" w:hAnsi="Times New Roman"/>
          <w:sz w:val="24"/>
          <w:szCs w:val="24"/>
          <w:lang w:val="en-US"/>
        </w:rPr>
        <w:t>I43.14</w:t>
      </w:r>
      <w:r w:rsidRPr="008503F7">
        <w:rPr>
          <w:rFonts w:ascii="Times New Roman" w:hAnsi="Times New Roman"/>
          <w:sz w:val="24"/>
          <w:szCs w:val="24"/>
        </w:rPr>
        <w:t xml:space="preserve"> режимът  на  застрояване  се  лимитира  със  съответните  максимални  устройствени  показатели  указани  в  матрицата  на  територията, плътност </w:t>
      </w:r>
      <w:r w:rsidRPr="008503F7">
        <w:rPr>
          <w:rFonts w:ascii="Times New Roman" w:hAnsi="Times New Roman"/>
          <w:sz w:val="24"/>
          <w:szCs w:val="24"/>
          <w:lang w:val="en-US"/>
        </w:rPr>
        <w:t>4</w:t>
      </w:r>
      <w:r w:rsidRPr="008503F7">
        <w:rPr>
          <w:rFonts w:ascii="Times New Roman" w:hAnsi="Times New Roman"/>
          <w:sz w:val="24"/>
          <w:szCs w:val="24"/>
        </w:rPr>
        <w:t>0%; КИНТ 0,8; височина на сградите 7,5м; озеленена площ 40%, свободно застрояване.</w:t>
      </w:r>
    </w:p>
    <w:p w14:paraId="1073A00F" w14:textId="74F6FF50"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3. Конкретното  застрояване  ще  се  състои  от следните сгради и съоръжения:</w:t>
      </w:r>
    </w:p>
    <w:p w14:paraId="3ED02176" w14:textId="1AF8564C"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3.1. Комбинирано съоръжение с размери 27,25м / 14,70м. с височина 6,70м. над прилежащия терен. Буферен резервоар, Сито, Пясъкозадържател, Биореактор (</w:t>
      </w:r>
      <w:r w:rsidRPr="008503F7">
        <w:rPr>
          <w:rFonts w:ascii="Times New Roman" w:hAnsi="Times New Roman"/>
          <w:sz w:val="24"/>
          <w:szCs w:val="24"/>
          <w:lang w:val="en-US"/>
        </w:rPr>
        <w:t>SBR</w:t>
      </w:r>
      <w:r w:rsidRPr="008503F7">
        <w:rPr>
          <w:rFonts w:ascii="Times New Roman" w:hAnsi="Times New Roman"/>
          <w:sz w:val="24"/>
          <w:szCs w:val="24"/>
        </w:rPr>
        <w:t xml:space="preserve">), контактен резервоар и силоз утайки са клетките разположени на полувкопано ниво кота </w:t>
      </w:r>
    </w:p>
    <w:p w14:paraId="51A086AE"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-2,25м . Обслужваща сграда е проектирана над кота ±0,00м, върху буферния резервоар с височина 3,30м;</w:t>
      </w:r>
    </w:p>
    <w:p w14:paraId="165BA0BF" w14:textId="351E59E1"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ab/>
      </w:r>
      <w:r w:rsidRPr="008503F7">
        <w:rPr>
          <w:rFonts w:ascii="Times New Roman" w:hAnsi="Times New Roman"/>
          <w:sz w:val="24"/>
          <w:szCs w:val="24"/>
        </w:rPr>
        <w:tab/>
        <w:t xml:space="preserve">3.2.  Сграда утайки с размери 10,30м  / 5,32м с височина 4,8м. </w:t>
      </w:r>
    </w:p>
    <w:p w14:paraId="54328991" w14:textId="76D91101"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ab/>
      </w:r>
      <w:r w:rsidRPr="008503F7">
        <w:rPr>
          <w:rFonts w:ascii="Times New Roman" w:hAnsi="Times New Roman"/>
          <w:sz w:val="24"/>
          <w:szCs w:val="24"/>
        </w:rPr>
        <w:tab/>
        <w:t>3.3.  Депо за обезводнени утайки с размери 20,5м/ 20,5м. вкопано съоръжение с височина на борда по контура на съоръжението - 0,1м от терена;</w:t>
      </w:r>
    </w:p>
    <w:p w14:paraId="31D452C6" w14:textId="22C25C6C"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ab/>
      </w:r>
      <w:r w:rsidRPr="008503F7">
        <w:rPr>
          <w:rFonts w:ascii="Times New Roman" w:hAnsi="Times New Roman"/>
          <w:sz w:val="24"/>
          <w:szCs w:val="24"/>
        </w:rPr>
        <w:tab/>
        <w:t xml:space="preserve">3.4. Ограда от телена мрежа – тел ф3,5 закрепени за стоманобетонни колове 10/10см. Всеки кол е захванат за точков стоманобетонен фундамент. </w:t>
      </w:r>
    </w:p>
    <w:p w14:paraId="57E3160E" w14:textId="77777777" w:rsidR="008503F7" w:rsidRPr="00D97F1A" w:rsidRDefault="008503F7" w:rsidP="00D97F1A">
      <w:pPr>
        <w:pStyle w:val="a4"/>
        <w:jc w:val="both"/>
        <w:rPr>
          <w:rFonts w:ascii="Times New Roman" w:hAnsi="Times New Roman"/>
          <w:sz w:val="24"/>
          <w:szCs w:val="24"/>
        </w:rPr>
      </w:pPr>
      <w:r w:rsidRPr="00D97F1A">
        <w:rPr>
          <w:rFonts w:ascii="Times New Roman" w:hAnsi="Times New Roman"/>
          <w:sz w:val="24"/>
          <w:szCs w:val="24"/>
        </w:rPr>
        <w:t>Описание на сгради и съоръжения.</w:t>
      </w:r>
    </w:p>
    <w:p w14:paraId="3DD1F0C7" w14:textId="77777777" w:rsidR="008503F7" w:rsidRPr="00D97F1A" w:rsidRDefault="008503F7" w:rsidP="00D97F1A">
      <w:pPr>
        <w:pStyle w:val="a4"/>
        <w:jc w:val="both"/>
        <w:rPr>
          <w:rFonts w:ascii="Times New Roman" w:hAnsi="Times New Roman"/>
          <w:b/>
          <w:bCs/>
          <w:sz w:val="24"/>
          <w:szCs w:val="24"/>
        </w:rPr>
      </w:pPr>
      <w:r w:rsidRPr="00D97F1A">
        <w:rPr>
          <w:rFonts w:ascii="Times New Roman" w:hAnsi="Times New Roman"/>
          <w:b/>
          <w:bCs/>
          <w:sz w:val="24"/>
          <w:szCs w:val="24"/>
        </w:rPr>
        <w:t>Комбинирано съоръжение – 404,04 м²:</w:t>
      </w:r>
    </w:p>
    <w:p w14:paraId="3A0EC607" w14:textId="77777777" w:rsidR="008503F7" w:rsidRPr="00D97F1A" w:rsidRDefault="008503F7" w:rsidP="00D97F1A">
      <w:pPr>
        <w:pStyle w:val="a4"/>
        <w:jc w:val="both"/>
        <w:rPr>
          <w:rFonts w:ascii="Times New Roman" w:hAnsi="Times New Roman"/>
          <w:sz w:val="24"/>
          <w:szCs w:val="24"/>
        </w:rPr>
      </w:pPr>
      <w:r w:rsidRPr="00D97F1A">
        <w:rPr>
          <w:rFonts w:ascii="Times New Roman" w:hAnsi="Times New Roman"/>
          <w:sz w:val="24"/>
          <w:szCs w:val="24"/>
        </w:rPr>
        <w:t>Проектира се монолитно съоръжение, разделено на отделни клетки (резервоари) с различно технологично предназначение определено от част Технологична.</w:t>
      </w:r>
    </w:p>
    <w:p w14:paraId="63CFDC2C" w14:textId="77777777" w:rsidR="008503F7" w:rsidRPr="00D97F1A" w:rsidRDefault="008503F7" w:rsidP="00D97F1A">
      <w:pPr>
        <w:pStyle w:val="a4"/>
        <w:jc w:val="both"/>
        <w:rPr>
          <w:rFonts w:ascii="Times New Roman" w:hAnsi="Times New Roman"/>
          <w:sz w:val="24"/>
          <w:szCs w:val="24"/>
        </w:rPr>
      </w:pPr>
      <w:r w:rsidRPr="00D97F1A">
        <w:rPr>
          <w:rFonts w:ascii="Times New Roman" w:hAnsi="Times New Roman"/>
          <w:sz w:val="24"/>
          <w:szCs w:val="24"/>
        </w:rPr>
        <w:t xml:space="preserve">Фундирането е на обща дънна (фундаментна) плоча, с дебелина 40см. Кота фундиране е приета к.-5.65 = 31.85м, като се извършва изкоп до к.-6.35 = 31.15м, след което да се направи основа от уплътнен насип до нивото на подложния бетон (к.-5.75 = 31.75м). За материал на насипа да се използва трошена скална маса, фракция 0-63 (с до 3% съдържание на прахова и глинеста фракции). За обслужване са предвидени отвори в плоча на к.±0.00м, с метални капаци, а достъп от терена е с външно метално стълбище. От вътрешната страна стените и дъната на резервоарите след декофража да се почистят добре, да се запълнят обрушени места (ако има) и да се хидроизолират с течна хидроизолация на циментова основа. От външната страна на съоръжението се предвижда </w:t>
      </w:r>
      <w:r w:rsidRPr="00D97F1A">
        <w:rPr>
          <w:rFonts w:ascii="Times New Roman" w:hAnsi="Times New Roman"/>
          <w:sz w:val="24"/>
          <w:szCs w:val="24"/>
        </w:rPr>
        <w:lastRenderedPageBreak/>
        <w:t xml:space="preserve">рулонна битумна хидроизолация в два пласта положена под дънната фундаментна плоча и по стените на височина 3,00м. = кота терен. </w:t>
      </w:r>
    </w:p>
    <w:p w14:paraId="383E77D3" w14:textId="77777777" w:rsidR="008503F7" w:rsidRPr="00D97F1A" w:rsidRDefault="008503F7" w:rsidP="00D97F1A">
      <w:pPr>
        <w:pStyle w:val="a4"/>
        <w:jc w:val="both"/>
        <w:rPr>
          <w:rFonts w:ascii="Times New Roman" w:hAnsi="Times New Roman"/>
          <w:sz w:val="24"/>
          <w:szCs w:val="24"/>
        </w:rPr>
      </w:pPr>
      <w:r w:rsidRPr="00D97F1A">
        <w:rPr>
          <w:rFonts w:ascii="Times New Roman" w:hAnsi="Times New Roman"/>
          <w:b/>
          <w:bCs/>
          <w:sz w:val="24"/>
          <w:szCs w:val="24"/>
        </w:rPr>
        <w:t>Обслужваща сграда - (59,73м2).</w:t>
      </w:r>
      <w:r w:rsidRPr="00D97F1A">
        <w:rPr>
          <w:rFonts w:ascii="Times New Roman" w:hAnsi="Times New Roman"/>
          <w:sz w:val="24"/>
          <w:szCs w:val="24"/>
        </w:rPr>
        <w:t xml:space="preserve"> Над к.±0.00м (+37,50) се предвижда изграждане на обслужваща сграда с монолитна рамкова конструкция и покривна плоча 15см.  В обслужваща сграда с габарити 985/525см са проектирани следните помещения.  Лаборатория 16,21м² , машинно 22,41м² , входно антре 3,69м² , санитарен възел с предверие 2,87м² и  2,48м². Външните стени са с дебелина 25см изградени от керамични тухли, преградните вътрешни стени са с дебелина 12см. В лабораторията и входното антре подът е гранитогрес, стените и таванът са измазани с гипсова шпакловка и боядисани с латекс. Машинното помещение е със шлайфан бетон за под, стените и таванът са на гипсова мазилка и латекс. В санитарните помещения подът е гранитогрес, стените фаянс до 2м. височина, а таваните варова мазилка и варова боя. По фасадата на цялата обслужваща сграда е предвидена топлоизолация </w:t>
      </w:r>
      <w:r w:rsidRPr="00D97F1A">
        <w:rPr>
          <w:rFonts w:ascii="Times New Roman" w:hAnsi="Times New Roman"/>
          <w:sz w:val="24"/>
          <w:szCs w:val="24"/>
          <w:lang w:val="de-DE"/>
        </w:rPr>
        <w:t>EPS</w:t>
      </w:r>
      <w:r w:rsidRPr="00D97F1A">
        <w:rPr>
          <w:rFonts w:ascii="Times New Roman" w:hAnsi="Times New Roman"/>
          <w:sz w:val="24"/>
          <w:szCs w:val="24"/>
        </w:rPr>
        <w:t xml:space="preserve"> 100мм. Дограмата е ПВЦ петкамерна с двоен стъклопакет. Вратите са метални. Покривът е едноскатен с циментова замазка за наклон върху стоманобетонната плоча и положени два пласта битумна хидроизолация 3,5кг/м, като вторият пласт е с посипка. По борда да се монтира шапка от поцинкована ламарина с полиестерно покритие. Дъждовните води ще се отвеждат посредством олук, събирателно казанче и отводнителна тръба.</w:t>
      </w:r>
    </w:p>
    <w:p w14:paraId="4F87AC73" w14:textId="77777777" w:rsidR="008503F7" w:rsidRPr="00D97F1A" w:rsidRDefault="008503F7" w:rsidP="00D97F1A">
      <w:pPr>
        <w:pStyle w:val="a4"/>
        <w:jc w:val="both"/>
        <w:rPr>
          <w:rFonts w:ascii="Times New Roman" w:hAnsi="Times New Roman"/>
          <w:b/>
          <w:bCs/>
          <w:sz w:val="24"/>
          <w:szCs w:val="24"/>
        </w:rPr>
      </w:pPr>
      <w:r w:rsidRPr="00D97F1A">
        <w:rPr>
          <w:rFonts w:ascii="Times New Roman" w:hAnsi="Times New Roman"/>
          <w:b/>
          <w:bCs/>
          <w:sz w:val="24"/>
          <w:szCs w:val="24"/>
        </w:rPr>
        <w:t>Сграда утайки - – 54,85 м²</w:t>
      </w:r>
    </w:p>
    <w:p w14:paraId="22EF869B" w14:textId="77777777" w:rsidR="008503F7" w:rsidRPr="00D97F1A" w:rsidRDefault="008503F7" w:rsidP="00D97F1A">
      <w:pPr>
        <w:pStyle w:val="a4"/>
        <w:jc w:val="both"/>
        <w:rPr>
          <w:rFonts w:ascii="Times New Roman" w:hAnsi="Times New Roman"/>
          <w:sz w:val="24"/>
          <w:szCs w:val="24"/>
        </w:rPr>
      </w:pPr>
      <w:r w:rsidRPr="00D97F1A">
        <w:rPr>
          <w:rFonts w:ascii="Times New Roman" w:hAnsi="Times New Roman"/>
          <w:sz w:val="24"/>
          <w:szCs w:val="24"/>
        </w:rPr>
        <w:t>Сградата за утайки също е  със стоманобетонен скелет и покривна плоча 15см. Светлата височина на сградата е 4,5м. Ограждащите стени са термопанели 50мм с пълнеж от полиуретанова пяна. Дограмата е алуминиева с единично стъкло. Вратите са метални. Покривът е двускатен с циментова замазка за наклон върху стоманобетонната плоча и положени два пласта битумна хидроизолация 3,5кг/м, като вторият пласт е с посипка. Дъждовните води ще се отвеждат посредством олуци, събирателни казанчета и отводнителни тръби.</w:t>
      </w:r>
    </w:p>
    <w:p w14:paraId="5A0B9F14" w14:textId="77777777" w:rsidR="008503F7" w:rsidRPr="00D97F1A" w:rsidRDefault="008503F7" w:rsidP="00D97F1A">
      <w:pPr>
        <w:pStyle w:val="a4"/>
        <w:jc w:val="both"/>
        <w:rPr>
          <w:rFonts w:ascii="Times New Roman" w:hAnsi="Times New Roman"/>
          <w:b/>
          <w:bCs/>
          <w:sz w:val="24"/>
          <w:szCs w:val="24"/>
        </w:rPr>
      </w:pPr>
      <w:r w:rsidRPr="00D97F1A">
        <w:rPr>
          <w:rFonts w:ascii="Times New Roman" w:hAnsi="Times New Roman"/>
          <w:b/>
          <w:bCs/>
          <w:sz w:val="24"/>
          <w:szCs w:val="24"/>
        </w:rPr>
        <w:t xml:space="preserve">Депо за обезводнени утайки – 420,25 м². </w:t>
      </w:r>
    </w:p>
    <w:p w14:paraId="0AE2BA01" w14:textId="77777777" w:rsidR="008503F7" w:rsidRPr="00D97F1A" w:rsidRDefault="008503F7" w:rsidP="00D97F1A">
      <w:pPr>
        <w:pStyle w:val="a4"/>
        <w:jc w:val="both"/>
        <w:rPr>
          <w:rFonts w:ascii="Times New Roman" w:hAnsi="Times New Roman"/>
          <w:sz w:val="24"/>
          <w:szCs w:val="24"/>
        </w:rPr>
      </w:pPr>
      <w:r w:rsidRPr="00D97F1A">
        <w:rPr>
          <w:rFonts w:ascii="Times New Roman" w:hAnsi="Times New Roman"/>
          <w:sz w:val="24"/>
          <w:szCs w:val="24"/>
        </w:rPr>
        <w:t xml:space="preserve">Изпълнява се като монолитно съоръжение, с дънна плоча 25см, с наклон към дренажен канал, и стени с дебелина 25см. Предвижда се рампа от пълнежен бетон, през която се обслужва. </w:t>
      </w:r>
    </w:p>
    <w:p w14:paraId="0DE51773" w14:textId="77777777" w:rsidR="008503F7" w:rsidRPr="00D97F1A" w:rsidRDefault="008503F7" w:rsidP="00D97F1A">
      <w:pPr>
        <w:pStyle w:val="a4"/>
        <w:jc w:val="both"/>
        <w:rPr>
          <w:rFonts w:ascii="Times New Roman" w:hAnsi="Times New Roman"/>
          <w:sz w:val="24"/>
          <w:szCs w:val="24"/>
        </w:rPr>
      </w:pPr>
      <w:r w:rsidRPr="00D97F1A">
        <w:rPr>
          <w:rFonts w:ascii="Times New Roman" w:hAnsi="Times New Roman"/>
          <w:sz w:val="24"/>
          <w:szCs w:val="24"/>
        </w:rPr>
        <w:t>Вертикална планировка</w:t>
      </w:r>
    </w:p>
    <w:p w14:paraId="28C16108" w14:textId="77777777" w:rsidR="008503F7" w:rsidRPr="00D97F1A" w:rsidRDefault="008503F7" w:rsidP="00D97F1A">
      <w:pPr>
        <w:pStyle w:val="a4"/>
        <w:jc w:val="both"/>
        <w:rPr>
          <w:rFonts w:ascii="Times New Roman" w:hAnsi="Times New Roman"/>
          <w:sz w:val="24"/>
          <w:szCs w:val="24"/>
        </w:rPr>
      </w:pPr>
      <w:r w:rsidRPr="00D97F1A">
        <w:rPr>
          <w:rFonts w:ascii="Times New Roman" w:hAnsi="Times New Roman"/>
          <w:sz w:val="24"/>
          <w:szCs w:val="24"/>
        </w:rPr>
        <w:t xml:space="preserve">Разположението на площадката е изцяло съобразено с  технологичната схема за пречистване и подреждането на съоръженията според тяхната последователност.  Площадката е с почти правоъгълна форма. Площта на имота е 3018м2. Входът към станцията е ситуиран от северозападната част към прилежащия селски път. Предвидена е плъзгаща се врата даваща достъп до пречиствателната станция, със светла широчина 4,0 м. До автомобилният портал е разположена и пешеходна врата със светла ширина 108см.  В центъра на имота е предвидена широка асфалтова площадка, която обслужва всички съоръжения. Оградата е ситуирана изцяло в горепосочения имот. Тя е от телена мрежа – тел ф3,5 закрепена за стоманобетонни колове 10/10см. Всеки кол е захванат за точков стоманобетонен фундамент съгласно конструктивния проект. </w:t>
      </w:r>
    </w:p>
    <w:p w14:paraId="1DB449F9" w14:textId="77777777" w:rsidR="008503F7" w:rsidRPr="00D97F1A" w:rsidRDefault="008503F7" w:rsidP="00D97F1A">
      <w:pPr>
        <w:pStyle w:val="a4"/>
        <w:jc w:val="both"/>
        <w:rPr>
          <w:rFonts w:ascii="Times New Roman" w:hAnsi="Times New Roman"/>
          <w:sz w:val="24"/>
          <w:szCs w:val="24"/>
        </w:rPr>
      </w:pPr>
      <w:r w:rsidRPr="00D97F1A">
        <w:rPr>
          <w:rFonts w:ascii="Times New Roman" w:hAnsi="Times New Roman"/>
          <w:sz w:val="24"/>
          <w:szCs w:val="24"/>
        </w:rPr>
        <w:t xml:space="preserve">Свободната площ извън съоръженията и обслужващата площадка е затревена. </w:t>
      </w:r>
    </w:p>
    <w:p w14:paraId="4E28B483" w14:textId="77777777" w:rsidR="008503F7" w:rsidRPr="00D97F1A" w:rsidRDefault="008503F7" w:rsidP="00D97F1A">
      <w:pPr>
        <w:pStyle w:val="a4"/>
        <w:jc w:val="both"/>
        <w:rPr>
          <w:rFonts w:ascii="Times New Roman" w:hAnsi="Times New Roman"/>
          <w:sz w:val="24"/>
          <w:szCs w:val="24"/>
        </w:rPr>
      </w:pPr>
      <w:r w:rsidRPr="00D97F1A">
        <w:rPr>
          <w:rFonts w:ascii="Times New Roman" w:hAnsi="Times New Roman"/>
          <w:sz w:val="24"/>
          <w:szCs w:val="24"/>
        </w:rPr>
        <w:t>Технически параметри:</w:t>
      </w:r>
    </w:p>
    <w:p w14:paraId="7D72E2BC" w14:textId="77777777" w:rsidR="008503F7" w:rsidRPr="00D97F1A" w:rsidRDefault="008503F7" w:rsidP="00D97F1A">
      <w:pPr>
        <w:pStyle w:val="a4"/>
        <w:jc w:val="both"/>
        <w:rPr>
          <w:rFonts w:ascii="Times New Roman" w:hAnsi="Times New Roman"/>
          <w:sz w:val="24"/>
          <w:szCs w:val="24"/>
        </w:rPr>
      </w:pPr>
      <w:r w:rsidRPr="00D97F1A">
        <w:rPr>
          <w:rFonts w:ascii="Times New Roman" w:hAnsi="Times New Roman"/>
          <w:sz w:val="24"/>
          <w:szCs w:val="24"/>
        </w:rPr>
        <w:t xml:space="preserve">Площ на имота </w:t>
      </w:r>
      <w:r w:rsidRPr="00D97F1A">
        <w:rPr>
          <w:rFonts w:ascii="Times New Roman" w:hAnsi="Times New Roman"/>
          <w:sz w:val="24"/>
          <w:szCs w:val="24"/>
        </w:rPr>
        <w:tab/>
      </w:r>
      <w:r w:rsidRPr="00D97F1A">
        <w:rPr>
          <w:rFonts w:ascii="Times New Roman" w:hAnsi="Times New Roman"/>
          <w:sz w:val="24"/>
          <w:szCs w:val="24"/>
        </w:rPr>
        <w:tab/>
        <w:t>3018</w:t>
      </w:r>
      <w:r w:rsidRPr="00D97F1A">
        <w:rPr>
          <w:rFonts w:ascii="Times New Roman" w:hAnsi="Times New Roman"/>
          <w:sz w:val="24"/>
          <w:szCs w:val="24"/>
          <w:lang w:val="en-US"/>
        </w:rPr>
        <w:t>,00</w:t>
      </w:r>
      <w:r w:rsidRPr="00D97F1A">
        <w:rPr>
          <w:rFonts w:ascii="Times New Roman" w:hAnsi="Times New Roman"/>
          <w:sz w:val="24"/>
          <w:szCs w:val="24"/>
        </w:rPr>
        <w:t>м²</w:t>
      </w:r>
    </w:p>
    <w:p w14:paraId="3B71478C" w14:textId="77777777" w:rsidR="008503F7" w:rsidRPr="00D97F1A" w:rsidRDefault="008503F7" w:rsidP="00D97F1A">
      <w:pPr>
        <w:pStyle w:val="a4"/>
        <w:jc w:val="both"/>
        <w:rPr>
          <w:rFonts w:ascii="Times New Roman" w:hAnsi="Times New Roman"/>
          <w:sz w:val="24"/>
          <w:szCs w:val="24"/>
        </w:rPr>
      </w:pPr>
      <w:r w:rsidRPr="00D97F1A">
        <w:rPr>
          <w:rFonts w:ascii="Times New Roman" w:hAnsi="Times New Roman"/>
          <w:sz w:val="24"/>
          <w:szCs w:val="24"/>
        </w:rPr>
        <w:t xml:space="preserve">Застроена площ </w:t>
      </w:r>
      <w:r w:rsidRPr="00D97F1A">
        <w:rPr>
          <w:rFonts w:ascii="Times New Roman" w:hAnsi="Times New Roman"/>
          <w:sz w:val="24"/>
          <w:szCs w:val="24"/>
        </w:rPr>
        <w:tab/>
      </w:r>
      <w:r w:rsidRPr="00D97F1A">
        <w:rPr>
          <w:rFonts w:ascii="Times New Roman" w:hAnsi="Times New Roman"/>
          <w:sz w:val="24"/>
          <w:szCs w:val="24"/>
        </w:rPr>
        <w:tab/>
        <w:t xml:space="preserve">   879,14м²</w:t>
      </w:r>
    </w:p>
    <w:p w14:paraId="03D2AC71" w14:textId="77777777" w:rsidR="008503F7" w:rsidRPr="00D97F1A" w:rsidRDefault="008503F7" w:rsidP="00D97F1A">
      <w:pPr>
        <w:pStyle w:val="a4"/>
        <w:jc w:val="both"/>
        <w:rPr>
          <w:rFonts w:ascii="Times New Roman" w:hAnsi="Times New Roman"/>
          <w:sz w:val="24"/>
          <w:szCs w:val="24"/>
        </w:rPr>
      </w:pPr>
      <w:r w:rsidRPr="00D97F1A">
        <w:rPr>
          <w:rFonts w:ascii="Times New Roman" w:hAnsi="Times New Roman"/>
          <w:sz w:val="24"/>
          <w:szCs w:val="24"/>
        </w:rPr>
        <w:t>РЗП</w:t>
      </w:r>
      <w:r w:rsidRPr="00D97F1A">
        <w:rPr>
          <w:rFonts w:ascii="Times New Roman" w:hAnsi="Times New Roman"/>
          <w:sz w:val="24"/>
          <w:szCs w:val="24"/>
        </w:rPr>
        <w:tab/>
      </w:r>
      <w:r w:rsidRPr="00D97F1A">
        <w:rPr>
          <w:rFonts w:ascii="Times New Roman" w:hAnsi="Times New Roman"/>
          <w:sz w:val="24"/>
          <w:szCs w:val="24"/>
        </w:rPr>
        <w:tab/>
      </w:r>
      <w:r w:rsidRPr="00D97F1A">
        <w:rPr>
          <w:rFonts w:ascii="Times New Roman" w:hAnsi="Times New Roman"/>
          <w:sz w:val="24"/>
          <w:szCs w:val="24"/>
        </w:rPr>
        <w:tab/>
      </w:r>
      <w:r w:rsidRPr="00D97F1A">
        <w:rPr>
          <w:rFonts w:ascii="Times New Roman" w:hAnsi="Times New Roman"/>
          <w:sz w:val="24"/>
          <w:szCs w:val="24"/>
        </w:rPr>
        <w:tab/>
        <w:t xml:space="preserve">   938,87м²</w:t>
      </w:r>
      <w:r w:rsidRPr="00D97F1A">
        <w:rPr>
          <w:rFonts w:ascii="Times New Roman" w:hAnsi="Times New Roman"/>
          <w:sz w:val="24"/>
          <w:szCs w:val="24"/>
        </w:rPr>
        <w:tab/>
      </w:r>
      <w:r w:rsidRPr="00D97F1A">
        <w:rPr>
          <w:rFonts w:ascii="Times New Roman" w:hAnsi="Times New Roman"/>
          <w:sz w:val="24"/>
          <w:szCs w:val="24"/>
        </w:rPr>
        <w:tab/>
      </w:r>
      <w:r w:rsidRPr="00D97F1A">
        <w:rPr>
          <w:rFonts w:ascii="Times New Roman" w:hAnsi="Times New Roman"/>
          <w:sz w:val="24"/>
          <w:szCs w:val="24"/>
        </w:rPr>
        <w:tab/>
      </w:r>
    </w:p>
    <w:p w14:paraId="442E11B7" w14:textId="77777777" w:rsidR="008503F7" w:rsidRPr="00D97F1A" w:rsidRDefault="008503F7" w:rsidP="00D97F1A">
      <w:pPr>
        <w:pStyle w:val="a4"/>
        <w:jc w:val="both"/>
        <w:rPr>
          <w:rFonts w:ascii="Times New Roman" w:hAnsi="Times New Roman"/>
          <w:sz w:val="24"/>
          <w:szCs w:val="24"/>
        </w:rPr>
      </w:pPr>
      <w:r w:rsidRPr="00D97F1A">
        <w:rPr>
          <w:rFonts w:ascii="Times New Roman" w:hAnsi="Times New Roman"/>
          <w:sz w:val="24"/>
          <w:szCs w:val="24"/>
        </w:rPr>
        <w:t xml:space="preserve">Озеленена площ </w:t>
      </w:r>
      <w:r w:rsidRPr="00D97F1A">
        <w:rPr>
          <w:rFonts w:ascii="Times New Roman" w:hAnsi="Times New Roman"/>
          <w:sz w:val="24"/>
          <w:szCs w:val="24"/>
        </w:rPr>
        <w:tab/>
      </w:r>
      <w:r w:rsidRPr="00D97F1A">
        <w:rPr>
          <w:rFonts w:ascii="Times New Roman" w:hAnsi="Times New Roman"/>
          <w:sz w:val="24"/>
          <w:szCs w:val="24"/>
        </w:rPr>
        <w:tab/>
        <w:t>1606,00м² - (53%)</w:t>
      </w:r>
    </w:p>
    <w:p w14:paraId="366A68D5" w14:textId="77777777" w:rsidR="008503F7" w:rsidRPr="00D97F1A" w:rsidRDefault="008503F7" w:rsidP="00D97F1A">
      <w:pPr>
        <w:pStyle w:val="a4"/>
        <w:jc w:val="both"/>
        <w:rPr>
          <w:rFonts w:ascii="Times New Roman" w:hAnsi="Times New Roman"/>
          <w:sz w:val="24"/>
          <w:szCs w:val="24"/>
        </w:rPr>
      </w:pPr>
      <w:r w:rsidRPr="00D97F1A">
        <w:rPr>
          <w:rFonts w:ascii="Times New Roman" w:hAnsi="Times New Roman"/>
          <w:sz w:val="24"/>
          <w:szCs w:val="24"/>
        </w:rPr>
        <w:t>КИНТ</w:t>
      </w:r>
      <w:r w:rsidRPr="00D97F1A">
        <w:rPr>
          <w:rFonts w:ascii="Times New Roman" w:hAnsi="Times New Roman"/>
          <w:sz w:val="24"/>
          <w:szCs w:val="24"/>
        </w:rPr>
        <w:tab/>
      </w:r>
      <w:r w:rsidRPr="00D97F1A">
        <w:rPr>
          <w:rFonts w:ascii="Times New Roman" w:hAnsi="Times New Roman"/>
          <w:sz w:val="24"/>
          <w:szCs w:val="24"/>
        </w:rPr>
        <w:tab/>
      </w:r>
      <w:r w:rsidRPr="00D97F1A">
        <w:rPr>
          <w:rFonts w:ascii="Times New Roman" w:hAnsi="Times New Roman"/>
          <w:sz w:val="24"/>
          <w:szCs w:val="24"/>
        </w:rPr>
        <w:tab/>
      </w:r>
      <w:r w:rsidRPr="00D97F1A">
        <w:rPr>
          <w:rFonts w:ascii="Times New Roman" w:hAnsi="Times New Roman"/>
          <w:sz w:val="24"/>
          <w:szCs w:val="24"/>
        </w:rPr>
        <w:tab/>
      </w:r>
      <w:r w:rsidRPr="00D97F1A">
        <w:rPr>
          <w:rFonts w:ascii="Times New Roman" w:hAnsi="Times New Roman"/>
          <w:sz w:val="24"/>
          <w:szCs w:val="24"/>
          <w:lang w:val="en-US"/>
        </w:rPr>
        <w:t>0.</w:t>
      </w:r>
      <w:r w:rsidRPr="00D97F1A">
        <w:rPr>
          <w:rFonts w:ascii="Times New Roman" w:hAnsi="Times New Roman"/>
          <w:sz w:val="24"/>
          <w:szCs w:val="24"/>
        </w:rPr>
        <w:t>31</w:t>
      </w:r>
    </w:p>
    <w:p w14:paraId="2B447491" w14:textId="77777777" w:rsidR="008503F7" w:rsidRPr="00D97F1A" w:rsidRDefault="008503F7" w:rsidP="00D97F1A">
      <w:pPr>
        <w:pStyle w:val="a4"/>
        <w:jc w:val="both"/>
        <w:rPr>
          <w:rFonts w:ascii="Times New Roman" w:hAnsi="Times New Roman"/>
          <w:sz w:val="24"/>
          <w:szCs w:val="24"/>
        </w:rPr>
      </w:pPr>
      <w:r w:rsidRPr="00D97F1A">
        <w:rPr>
          <w:rFonts w:ascii="Times New Roman" w:hAnsi="Times New Roman"/>
          <w:sz w:val="24"/>
          <w:szCs w:val="24"/>
        </w:rPr>
        <w:t xml:space="preserve">Плътност на застрояване </w:t>
      </w:r>
      <w:r w:rsidRPr="00D97F1A">
        <w:rPr>
          <w:rFonts w:ascii="Times New Roman" w:hAnsi="Times New Roman"/>
          <w:sz w:val="24"/>
          <w:szCs w:val="24"/>
        </w:rPr>
        <w:tab/>
        <w:t>0,29%</w:t>
      </w:r>
    </w:p>
    <w:p w14:paraId="7C38B98F" w14:textId="77777777" w:rsidR="008503F7" w:rsidRDefault="008503F7" w:rsidP="008503F7">
      <w:pPr>
        <w:pStyle w:val="20"/>
        <w:shd w:val="clear" w:color="auto" w:fill="auto"/>
        <w:spacing w:before="0" w:after="0" w:line="317" w:lineRule="exact"/>
        <w:ind w:left="1495" w:firstLine="0"/>
        <w:jc w:val="both"/>
        <w:rPr>
          <w:rFonts w:ascii="Times New Roman" w:hAnsi="Times New Roman" w:cs="Times New Roman"/>
          <w:sz w:val="24"/>
          <w:szCs w:val="24"/>
        </w:rPr>
      </w:pPr>
    </w:p>
    <w:p w14:paraId="4AB3B52D" w14:textId="7A28D188" w:rsidR="007C5908" w:rsidRPr="00D97F1A"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lastRenderedPageBreak/>
        <w:t>3. Описание на основните процеси (по проспектни данни), капацитет, включително на съоръженията, в които се очаква да са налични опасни вещества от приложение № 3 към ЗООС.</w:t>
      </w:r>
    </w:p>
    <w:p w14:paraId="37F8D646" w14:textId="77777777" w:rsidR="008503F7" w:rsidRPr="008503F7" w:rsidRDefault="008503F7" w:rsidP="008503F7">
      <w:pPr>
        <w:pStyle w:val="a4"/>
        <w:jc w:val="both"/>
        <w:rPr>
          <w:rFonts w:ascii="Times New Roman" w:hAnsi="Times New Roman"/>
          <w:sz w:val="24"/>
          <w:szCs w:val="24"/>
          <w:lang w:eastAsia="bg-BG"/>
        </w:rPr>
      </w:pPr>
      <w:r w:rsidRPr="008503F7">
        <w:rPr>
          <w:rFonts w:ascii="Times New Roman" w:hAnsi="Times New Roman"/>
          <w:sz w:val="24"/>
          <w:szCs w:val="24"/>
          <w:lang w:eastAsia="bg-BG"/>
        </w:rPr>
        <w:t>01 – Комбинирано съоръжение</w:t>
      </w:r>
    </w:p>
    <w:p w14:paraId="6040FA38"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Проектира се монолитно съоръжение, разделено на отделни клетки (резервоари) с различно технологично предназначение.</w:t>
      </w:r>
    </w:p>
    <w:p w14:paraId="37CC186D"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Фундирането е на обща дънна (фундаментна) плоча, с дебелина 40см.</w:t>
      </w:r>
    </w:p>
    <w:p w14:paraId="2BD1DE86"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 xml:space="preserve">Дебелината на външните стени е 40см, на вътрешните – 35см. </w:t>
      </w:r>
    </w:p>
    <w:p w14:paraId="2D5274C0"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За обслужване са предвидени отвори в плоча на к.±0.00м</w:t>
      </w:r>
      <w:r w:rsidRPr="008503F7">
        <w:rPr>
          <w:rFonts w:ascii="Times New Roman" w:hAnsi="Times New Roman"/>
          <w:sz w:val="24"/>
          <w:szCs w:val="24"/>
          <w:lang w:val="en-US"/>
        </w:rPr>
        <w:t xml:space="preserve">, </w:t>
      </w:r>
      <w:r w:rsidRPr="008503F7">
        <w:rPr>
          <w:rFonts w:ascii="Times New Roman" w:hAnsi="Times New Roman"/>
          <w:sz w:val="24"/>
          <w:szCs w:val="24"/>
        </w:rPr>
        <w:t xml:space="preserve">с метални капаци, а достъп от терена е с външно метално стълбище. </w:t>
      </w:r>
    </w:p>
    <w:p w14:paraId="4F55BAD2"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Над к.±0.00м се предвижда обслужващо помещение, с монолитна рамкова конструкция и покривна плоча 15см.</w:t>
      </w:r>
    </w:p>
    <w:p w14:paraId="26ECF8A9"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Всички работни фуги да се изпълняват като водоплътни, съгласно приложени детайли. При необходимост от прекъсване на бетониране извън посочените в проекта места, да се потърси задължително Проектанта за допълнителни указания. По вътрешните повърхности да се изпълни изолация на циментова основа, а отвън листова ХИ по архитектурен детайл.</w:t>
      </w:r>
    </w:p>
    <w:p w14:paraId="6C0C3439"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За преминаване на тръби (коти и диаметри) през конструкцията да се гледа част Технологична, както и детайли за изпълнение.</w:t>
      </w:r>
    </w:p>
    <w:p w14:paraId="2B3C5DD4" w14:textId="77777777" w:rsidR="008503F7" w:rsidRPr="008503F7" w:rsidRDefault="008503F7" w:rsidP="008503F7">
      <w:pPr>
        <w:pStyle w:val="a4"/>
        <w:jc w:val="both"/>
        <w:rPr>
          <w:rFonts w:ascii="Times New Roman" w:hAnsi="Times New Roman"/>
          <w:sz w:val="24"/>
          <w:szCs w:val="24"/>
          <w:u w:val="single"/>
        </w:rPr>
      </w:pPr>
      <w:r w:rsidRPr="008503F7">
        <w:rPr>
          <w:rFonts w:ascii="Times New Roman" w:hAnsi="Times New Roman"/>
          <w:sz w:val="24"/>
          <w:szCs w:val="24"/>
          <w:u w:val="single"/>
        </w:rPr>
        <w:t>Съоръжението е изчислено на воден подем (с коеф, на сигурност К=2.46), като в проверката са отчетени теглата само на фундаментната плоча и стените (преди изпълнение на конструкцията над к.±0.00м. При необходимост, изкопните дейности да се извършат след укрепване за откосите, като изпълнението е по отделен проект !</w:t>
      </w:r>
    </w:p>
    <w:p w14:paraId="7C4D379D" w14:textId="77777777" w:rsidR="008503F7" w:rsidRPr="008503F7" w:rsidRDefault="008503F7" w:rsidP="008503F7">
      <w:pPr>
        <w:pStyle w:val="a4"/>
        <w:jc w:val="both"/>
        <w:rPr>
          <w:rFonts w:ascii="Times New Roman" w:hAnsi="Times New Roman"/>
          <w:sz w:val="24"/>
          <w:szCs w:val="24"/>
          <w:lang w:eastAsia="bg-BG"/>
        </w:rPr>
      </w:pPr>
      <w:r w:rsidRPr="008503F7">
        <w:rPr>
          <w:rFonts w:ascii="Times New Roman" w:hAnsi="Times New Roman"/>
          <w:sz w:val="24"/>
          <w:szCs w:val="24"/>
          <w:lang w:eastAsia="bg-BG"/>
        </w:rPr>
        <w:t>02 – Обслужваща сграда утайки</w:t>
      </w:r>
    </w:p>
    <w:p w14:paraId="395B69D0"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 xml:space="preserve">Конструкцията е монолитна, скелетно-гредова. Сградата е едноетажна, със светла височина 4,50м. </w:t>
      </w:r>
    </w:p>
    <w:p w14:paraId="02F71A12"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Фундирането е на единични и ивични фундаменти.</w:t>
      </w:r>
    </w:p>
    <w:p w14:paraId="5CAFDF48"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Сеизмичните натоварвания се поемат от рамки в две перпендикулярни направления. Покривната плоча на к.+4.65м е с дебелина от 15см, като наклоните и покритието са съгл. част Арх. Предвижда се изпълнение на хоризонтален пояс на к.+2.85м.</w:t>
      </w:r>
    </w:p>
    <w:p w14:paraId="6215B695" w14:textId="77777777" w:rsidR="008503F7" w:rsidRPr="008503F7" w:rsidRDefault="008503F7" w:rsidP="008503F7">
      <w:pPr>
        <w:pStyle w:val="a4"/>
        <w:jc w:val="both"/>
        <w:rPr>
          <w:rFonts w:ascii="Times New Roman" w:hAnsi="Times New Roman"/>
          <w:sz w:val="24"/>
          <w:szCs w:val="24"/>
          <w:lang w:eastAsia="bg-BG"/>
        </w:rPr>
      </w:pPr>
      <w:r w:rsidRPr="008503F7">
        <w:rPr>
          <w:rFonts w:ascii="Times New Roman" w:hAnsi="Times New Roman"/>
          <w:sz w:val="24"/>
          <w:szCs w:val="24"/>
          <w:lang w:eastAsia="bg-BG"/>
        </w:rPr>
        <w:t>03 – Депо за обезводнени утайки</w:t>
      </w:r>
    </w:p>
    <w:p w14:paraId="760A5269"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Изпълнява се като монолитно съоръжение, с дънна плоча 25см, с наклон към дренажен канал, и стени с дебелина 25см. Предвижда се рампа от пълнежен бетон, през която се обслужва.</w:t>
      </w:r>
    </w:p>
    <w:p w14:paraId="20F9F33D" w14:textId="77777777" w:rsidR="008503F7" w:rsidRPr="008503F7" w:rsidRDefault="008503F7" w:rsidP="008503F7">
      <w:pPr>
        <w:pStyle w:val="a4"/>
        <w:jc w:val="both"/>
        <w:rPr>
          <w:rFonts w:ascii="Times New Roman" w:hAnsi="Times New Roman"/>
          <w:sz w:val="24"/>
          <w:szCs w:val="24"/>
          <w:lang w:eastAsia="bg-BG"/>
        </w:rPr>
      </w:pPr>
      <w:r w:rsidRPr="008503F7">
        <w:rPr>
          <w:rFonts w:ascii="Times New Roman" w:hAnsi="Times New Roman"/>
          <w:sz w:val="24"/>
          <w:szCs w:val="24"/>
          <w:lang w:eastAsia="bg-BG"/>
        </w:rPr>
        <w:t>Стоманобетонни конструкции</w:t>
      </w:r>
    </w:p>
    <w:p w14:paraId="2FF5345E"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 xml:space="preserve">За приготвяне на бетонна смес да се използват чисти добавъчни материали. </w:t>
      </w:r>
    </w:p>
    <w:p w14:paraId="6CE6BF61"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 xml:space="preserve">Консистенцията на бетонната смес да позволява лесно транспортиране, полагане и вибриране на обекта, за да се постигне максимална плътност без разслояване. </w:t>
      </w:r>
    </w:p>
    <w:p w14:paraId="6B48E625"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 xml:space="preserve">Стриктно да се спазва даденото водоциментово съотношение, за да се избегне намаляване на якоста и увеличението на порьозността на бетона. </w:t>
      </w:r>
    </w:p>
    <w:p w14:paraId="66B207A9"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Извършване на бетониране в нормални условия при външна температура в диапазон 5°C÷25°C. При температури извън този интервал, бетониране на обекта се извършва след задължително предписание на Проектанта. Да се вземат мерки за предотвратяване на преждевременно обезводняване при горещо време. Задължително да се проверява съвместимостта на цимента и използваните химични добавки към бетона.</w:t>
      </w:r>
    </w:p>
    <w:p w14:paraId="56DCBFBA"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Да се спазват минималните бетонни покрития, дадени в забележките към съответните чертежи.</w:t>
      </w:r>
    </w:p>
    <w:p w14:paraId="6DB41A89"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Всички фуги (работни и деформационни) да се изпълняват по дадените в проекта детайли, като при промяна на материалите задължително да се търси Проектанта  за указания.</w:t>
      </w:r>
    </w:p>
    <w:p w14:paraId="316ADD0D"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lastRenderedPageBreak/>
        <w:t>Всички бетонни повърхности, които ще се засипват, да се обмажат двукратно с битум, преди изпълнение на обратния насип (ако не са предвидени други дейности по част Арх)</w:t>
      </w:r>
    </w:p>
    <w:p w14:paraId="6BAF091F" w14:textId="77777777" w:rsidR="008503F7" w:rsidRPr="008503F7" w:rsidRDefault="008503F7" w:rsidP="008503F7">
      <w:pPr>
        <w:pStyle w:val="a4"/>
        <w:jc w:val="both"/>
        <w:rPr>
          <w:rFonts w:ascii="Times New Roman" w:hAnsi="Times New Roman"/>
          <w:sz w:val="24"/>
          <w:szCs w:val="24"/>
          <w:u w:val="single"/>
        </w:rPr>
      </w:pPr>
      <w:r w:rsidRPr="008503F7">
        <w:rPr>
          <w:rFonts w:ascii="Times New Roman" w:hAnsi="Times New Roman"/>
          <w:sz w:val="24"/>
          <w:szCs w:val="24"/>
          <w:u w:val="single"/>
        </w:rPr>
        <w:t>Всички бетонови работи на обекта да се извършват само след писмено разрешение на Проектанта!</w:t>
      </w:r>
    </w:p>
    <w:p w14:paraId="34FDDC74" w14:textId="77777777" w:rsidR="008503F7" w:rsidRPr="008503F7" w:rsidRDefault="008503F7" w:rsidP="008503F7">
      <w:pPr>
        <w:pStyle w:val="a4"/>
        <w:jc w:val="both"/>
        <w:rPr>
          <w:rFonts w:ascii="Times New Roman" w:hAnsi="Times New Roman"/>
          <w:sz w:val="24"/>
          <w:szCs w:val="24"/>
          <w:u w:val="single"/>
          <w:lang w:val="en-US" w:eastAsia="bg-BG"/>
        </w:rPr>
      </w:pPr>
      <w:r w:rsidRPr="008503F7">
        <w:rPr>
          <w:rFonts w:ascii="Times New Roman" w:hAnsi="Times New Roman"/>
          <w:sz w:val="24"/>
          <w:szCs w:val="24"/>
          <w:u w:val="single"/>
          <w:lang w:eastAsia="bg-BG"/>
        </w:rPr>
        <w:t>Уплътнени насипи под фундаменти</w:t>
      </w:r>
    </w:p>
    <w:p w14:paraId="09FF2117"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За направата им да се използва трошена скална маса, фракция 0-63, като съдържанието на прахова и глинеста фракция не трябва да надвишава 3%. Насипите, изпълнявани от такава фракция, позволяват постигане на добра уплътняемост и добри якостно-деформационни характеристики. Да се спазва следната технологична последователност:</w:t>
      </w:r>
    </w:p>
    <w:p w14:paraId="1BA525C2"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 xml:space="preserve">изземване на негодните за строителство почви (хумус, строителни и битови отпадъци и др.) до достигане на по-здрава основа, приета от Проектанта и инженер-геолог </w:t>
      </w:r>
    </w:p>
    <w:p w14:paraId="29A63202"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подравняване и уплътняване на достигнатата естествена земна основа, като геометрията на изкопа да позволява използване на валяк за изпълнение на уплътнителните работи</w:t>
      </w:r>
    </w:p>
    <w:p w14:paraId="67D948D9"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 xml:space="preserve">насипване и уплътняване на трошен скален материал фракция 0-63, като това трябва да става на отделни пластове с дебелина максимално 20-25см. Влаганият насипен материал трябва да бъде с приблизително оптимално водно съдържание или по-ниско от него, когато започне уплътняването. Оптималното водно съдържание се определя, като водно съдържание, получено при изпитване, определящо максималната обемна плътност, съгласно БДС 17146. Ако материалът е твърде сух, необходимото количество вода трябва да бъде равномерно разпределено и внимателно смесено с почвата до достигане на еднородно водно съдържание за цялата дебелина на пласта. Ако материалът е твърде влажен, той трябва да бъде въздушно изсушен до задоволително водно съдържание. Ако възникнат неблагоприятни атмосферни условия (напр. продължителни валежи), при които водното съдържание на влаганите почви не може да бъде намалено до приемлива стойност, работата трябва да бъде спряна. Уплътняването да се извършва с виброваляк с тегло 8-10т, като трябва да започне от ръба на насипа и да продължи към центъра му, застъпвайки на половин широчина дирята на валяка при всяко следващо преминаване. При наклонени сечения, валирането започва от по-ниската страна и продължава към по-високата. Цялата уплътнявана площ трябва да бъде предмет на достатъчен брой преминавания, необходими за получаване на равномерно уплътняване и достигане на обемна плътност на скелета </w:t>
      </w:r>
      <w:r w:rsidRPr="008503F7">
        <w:rPr>
          <w:rFonts w:ascii="Times New Roman" w:hAnsi="Times New Roman"/>
          <w:sz w:val="24"/>
          <w:szCs w:val="24"/>
          <w:lang w:val="en-US"/>
        </w:rPr>
        <w:t xml:space="preserve">&gt; </w:t>
      </w:r>
      <w:r w:rsidRPr="008503F7">
        <w:rPr>
          <w:rFonts w:ascii="Times New Roman" w:hAnsi="Times New Roman"/>
          <w:sz w:val="24"/>
          <w:szCs w:val="24"/>
        </w:rPr>
        <w:t>95% от максималната обемна плътност на скелета, съгласно БДС 17146. За достигане на необходимата степен на уплътняване обикновено са нужни от 5 до 8 работни хода в една следа на валяка</w:t>
      </w:r>
    </w:p>
    <w:p w14:paraId="15CC89AC"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 xml:space="preserve">проверка и контрол се извършва на всеки отделен пласт, за да се определят постигнатите уплътнителни характеристики. </w:t>
      </w:r>
      <w:r w:rsidRPr="008503F7">
        <w:rPr>
          <w:rFonts w:ascii="Times New Roman" w:hAnsi="Times New Roman"/>
          <w:sz w:val="24"/>
          <w:szCs w:val="24"/>
          <w:u w:val="single"/>
        </w:rPr>
        <w:t>Метод 1</w:t>
      </w:r>
      <w:r w:rsidRPr="008503F7">
        <w:rPr>
          <w:rFonts w:ascii="Times New Roman" w:hAnsi="Times New Roman"/>
          <w:sz w:val="24"/>
          <w:szCs w:val="24"/>
        </w:rPr>
        <w:t xml:space="preserve">: определяне на обемната плътност на скелета на вложените почви на място чрез режещ пръстен, по пясъчно-насипен метод или чрез радиоизотопни плътномери. Всеки пласт се счита за уплътнен, когато не повече от 10% от взетите проби показват плътност по-малка от необходимата, като разликата между необходимата и получената плътност за тези проби е не по-голяма от 2%. </w:t>
      </w:r>
      <w:r w:rsidRPr="008503F7">
        <w:rPr>
          <w:rFonts w:ascii="Times New Roman" w:hAnsi="Times New Roman"/>
          <w:sz w:val="24"/>
          <w:szCs w:val="24"/>
          <w:u w:val="single"/>
        </w:rPr>
        <w:t>Метод 2</w:t>
      </w:r>
      <w:r w:rsidRPr="008503F7">
        <w:rPr>
          <w:rFonts w:ascii="Times New Roman" w:hAnsi="Times New Roman"/>
          <w:sz w:val="24"/>
          <w:szCs w:val="24"/>
        </w:rPr>
        <w:t xml:space="preserve">: чрез определяне на модулите на еластичност и деформация на материала чрез натоварване с кръгла плоча, съгласно БДС 15130. За уплътнен ще се счита този пласт, при който изчисленото отношение Е2 / Е1, в което Е2 и Е1 са модулите на деформация при втори и първи цикли на натоварване, не надвишава 2.0, а получената стойност на деформационния модул е </w:t>
      </w:r>
      <w:r w:rsidRPr="008503F7">
        <w:rPr>
          <w:rFonts w:ascii="Times New Roman" w:hAnsi="Times New Roman"/>
          <w:sz w:val="24"/>
          <w:szCs w:val="24"/>
          <w:lang w:val="en-US"/>
        </w:rPr>
        <w:t xml:space="preserve">&gt; </w:t>
      </w:r>
      <w:r w:rsidRPr="008503F7">
        <w:rPr>
          <w:rFonts w:ascii="Times New Roman" w:hAnsi="Times New Roman"/>
          <w:sz w:val="24"/>
          <w:szCs w:val="24"/>
        </w:rPr>
        <w:t>30</w:t>
      </w:r>
      <w:r w:rsidRPr="008503F7">
        <w:rPr>
          <w:rFonts w:ascii="Times New Roman" w:hAnsi="Times New Roman"/>
          <w:sz w:val="24"/>
          <w:szCs w:val="24"/>
          <w:lang w:val="en-US"/>
        </w:rPr>
        <w:t xml:space="preserve">MPa. </w:t>
      </w:r>
      <w:r w:rsidRPr="008503F7">
        <w:rPr>
          <w:rFonts w:ascii="Times New Roman" w:hAnsi="Times New Roman"/>
          <w:sz w:val="24"/>
          <w:szCs w:val="24"/>
        </w:rPr>
        <w:t>Честотата на проведените изпитвания трябва да бъде не по-малко от едно изпитване на всеки пласт, за определената насипана площ.</w:t>
      </w:r>
    </w:p>
    <w:p w14:paraId="62CA40FB" w14:textId="77777777" w:rsidR="008503F7" w:rsidRPr="008503F7" w:rsidRDefault="008503F7" w:rsidP="008503F7">
      <w:pPr>
        <w:pStyle w:val="a4"/>
        <w:jc w:val="both"/>
        <w:rPr>
          <w:rFonts w:ascii="Times New Roman" w:hAnsi="Times New Roman"/>
          <w:sz w:val="24"/>
          <w:szCs w:val="24"/>
          <w:u w:val="single"/>
        </w:rPr>
      </w:pPr>
      <w:r w:rsidRPr="008503F7">
        <w:rPr>
          <w:rFonts w:ascii="Times New Roman" w:hAnsi="Times New Roman"/>
          <w:sz w:val="24"/>
          <w:szCs w:val="24"/>
          <w:u w:val="single"/>
        </w:rPr>
        <w:t>Метална конструкция</w:t>
      </w:r>
    </w:p>
    <w:p w14:paraId="042BD18D"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Болтови съединения</w:t>
      </w:r>
    </w:p>
    <w:p w14:paraId="2012C513"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Да се спазват изискванията:</w:t>
      </w:r>
    </w:p>
    <w:p w14:paraId="0B1F1BE2"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обикновени болтове: клас 8.8, по БДС EN ISO 4014:2011</w:t>
      </w:r>
    </w:p>
    <w:p w14:paraId="437D667F"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гайки: клас 8, шестостенни, по БДС EN ISO 4032:2003</w:t>
      </w:r>
    </w:p>
    <w:p w14:paraId="3CD1F539"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lastRenderedPageBreak/>
        <w:t>шайби: по БДС EN ISO 887:2003</w:t>
      </w:r>
    </w:p>
    <w:p w14:paraId="5DB95270"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Болтовите съединения са с нормална точност, като диаметъра на отворите да бъде от 1÷3мм по-голям от диаметъра на стеблото на болта.</w:t>
      </w:r>
    </w:p>
    <w:p w14:paraId="299C7E83" w14:textId="77777777" w:rsidR="008503F7" w:rsidRPr="008503F7" w:rsidRDefault="008503F7" w:rsidP="008503F7">
      <w:pPr>
        <w:pStyle w:val="a4"/>
        <w:jc w:val="both"/>
        <w:rPr>
          <w:rFonts w:ascii="Times New Roman" w:hAnsi="Times New Roman"/>
          <w:sz w:val="24"/>
          <w:szCs w:val="24"/>
          <w:lang w:eastAsia="bg-BG"/>
        </w:rPr>
      </w:pPr>
      <w:r w:rsidRPr="008503F7">
        <w:rPr>
          <w:rFonts w:ascii="Times New Roman" w:hAnsi="Times New Roman"/>
          <w:sz w:val="24"/>
          <w:szCs w:val="24"/>
        </w:rPr>
        <w:t xml:space="preserve">Свързаните елементи да бъдат събрани в пакет, така че да са в плътен контакт, като всяко болтово съединение следва да бъде натегнато поне до обиране на хлабините, внимавайки да се избегне пренатягане. Болтът да се подаде над стената на гайката след затягане на поне една пълна навивка на резбата. </w:t>
      </w:r>
    </w:p>
    <w:p w14:paraId="73AE29AC"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Заварени съединения</w:t>
      </w:r>
    </w:p>
    <w:p w14:paraId="7B81B3A0"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При проектирането се използват:</w:t>
      </w:r>
    </w:p>
    <w:p w14:paraId="39D502FA"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електроди: Е42А 3 1Ni B 54 H5, по БДС EN ISO 2560:2010</w:t>
      </w:r>
    </w:p>
    <w:p w14:paraId="3BE0026B"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катет на заваръчния шев: съгласно приложените работни чертежи</w:t>
      </w:r>
    </w:p>
    <w:p w14:paraId="1BC9954B"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 xml:space="preserve">Критериите за приемане на заварените съединения да бъдат съгласно БДС EN ISO 5817:2008. </w:t>
      </w:r>
    </w:p>
    <w:p w14:paraId="1F713098"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 xml:space="preserve"> За избягване на дефекти - недостатъчно сплавяване и недостатъчен провар в корена на шева, несплавяване между шева и стените на заварявания материал, порьозност, неметални (шлакови) включения, пукнатини в заваръчния шев при изстиване и втвърдяване, разслояване, подрези и др., да се спазват изискванията и предписанията:</w:t>
      </w:r>
    </w:p>
    <w:p w14:paraId="54620298"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да се извърши добра подготовка на заваряваните елементи, напасване, почистване, оставяне на достатъчно голяма заваръчна междина и подходящ ъгъл на скосяване</w:t>
      </w:r>
    </w:p>
    <w:p w14:paraId="4F0A7715"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при ръчно електродъгово заваряване: да се използват правилни параметри на заваряване – ампераж и волтаж, както и дължина на дъгата, за да се постигне достатъчно голяма енергия на разтапяне на метала; да се избере подходяща скорост на водене и ъгъл на подаване на електрода</w:t>
      </w:r>
    </w:p>
    <w:p w14:paraId="5F872FC0"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да се съобрази диаметъра на електрода</w:t>
      </w:r>
    </w:p>
    <w:p w14:paraId="603FD1C2"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при многослойно заваряване да се почиства всеки от слоевете преди изпълнение на следващия</w:t>
      </w:r>
    </w:p>
    <w:p w14:paraId="0B5EE6BB"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да се избягват затворени контурни шевове</w:t>
      </w:r>
    </w:p>
    <w:p w14:paraId="52C652F3" w14:textId="77777777" w:rsidR="008503F7" w:rsidRPr="008503F7" w:rsidRDefault="008503F7" w:rsidP="008503F7">
      <w:pPr>
        <w:pStyle w:val="a4"/>
        <w:jc w:val="both"/>
        <w:rPr>
          <w:rFonts w:ascii="Times New Roman" w:hAnsi="Times New Roman"/>
          <w:sz w:val="24"/>
          <w:szCs w:val="24"/>
        </w:rPr>
      </w:pPr>
      <w:r w:rsidRPr="008503F7">
        <w:rPr>
          <w:rFonts w:ascii="Times New Roman" w:hAnsi="Times New Roman"/>
          <w:sz w:val="24"/>
          <w:szCs w:val="24"/>
        </w:rPr>
        <w:t>предварително подгряване и изсушаване на електродите</w:t>
      </w:r>
    </w:p>
    <w:p w14:paraId="1D6904E7" w14:textId="77777777" w:rsidR="008503F7" w:rsidRPr="008503F7" w:rsidRDefault="008503F7" w:rsidP="008503F7">
      <w:pPr>
        <w:pStyle w:val="a4"/>
        <w:jc w:val="both"/>
        <w:rPr>
          <w:rFonts w:ascii="Times New Roman" w:hAnsi="Times New Roman"/>
          <w:sz w:val="24"/>
          <w:szCs w:val="24"/>
          <w:u w:val="single"/>
        </w:rPr>
      </w:pPr>
      <w:r w:rsidRPr="008503F7">
        <w:rPr>
          <w:rFonts w:ascii="Times New Roman" w:hAnsi="Times New Roman"/>
          <w:sz w:val="24"/>
          <w:szCs w:val="24"/>
          <w:u w:val="single"/>
        </w:rPr>
        <w:t>За точното изпълнение на металните конструкции да се разработят КМД-чертежи, на база настоящият проект.</w:t>
      </w:r>
    </w:p>
    <w:p w14:paraId="349A2FFB" w14:textId="77777777" w:rsidR="008503F7" w:rsidRPr="00A410C5" w:rsidRDefault="008503F7" w:rsidP="00A410C5">
      <w:pPr>
        <w:shd w:val="clear" w:color="auto" w:fill="FEFEFE"/>
        <w:spacing w:after="0" w:line="240" w:lineRule="auto"/>
        <w:jc w:val="both"/>
        <w:rPr>
          <w:rFonts w:ascii="Times New Roman" w:eastAsia="Times New Roman" w:hAnsi="Times New Roman" w:cs="Times New Roman"/>
          <w:color w:val="000000"/>
          <w:sz w:val="24"/>
          <w:szCs w:val="24"/>
          <w:lang w:eastAsia="bg-BG"/>
        </w:rPr>
      </w:pPr>
    </w:p>
    <w:p w14:paraId="6B3A68EB" w14:textId="3CE43942" w:rsidR="007C5908"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4. Схема на нова или промяна на съществуваща пътна инфраструктура.</w:t>
      </w:r>
    </w:p>
    <w:p w14:paraId="2538BF51" w14:textId="77777777" w:rsidR="00D97F1A" w:rsidRDefault="00D97F1A" w:rsidP="00D97F1A">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1A75688E" w14:textId="77777777" w:rsidR="00D97F1A" w:rsidRPr="00D97F1A" w:rsidRDefault="00D97F1A"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p>
    <w:p w14:paraId="3AD7FCF4" w14:textId="7A1D8D15" w:rsidR="007C5908" w:rsidRPr="00D97F1A"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5. Програма за дейностите, включително за строителство, експлоатация и фазите на закриване, възстановяване и последващо използване.</w:t>
      </w:r>
    </w:p>
    <w:p w14:paraId="39BE26AD" w14:textId="77777777" w:rsidR="00D97F1A" w:rsidRDefault="00D97F1A" w:rsidP="00D97F1A">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5ABA5790" w14:textId="77777777" w:rsidR="00D97F1A" w:rsidRPr="00A410C5" w:rsidRDefault="00D97F1A" w:rsidP="00A410C5">
      <w:pPr>
        <w:shd w:val="clear" w:color="auto" w:fill="FEFEFE"/>
        <w:spacing w:after="0" w:line="240" w:lineRule="auto"/>
        <w:jc w:val="both"/>
        <w:rPr>
          <w:rFonts w:ascii="Times New Roman" w:eastAsia="Times New Roman" w:hAnsi="Times New Roman" w:cs="Times New Roman"/>
          <w:color w:val="000000"/>
          <w:sz w:val="24"/>
          <w:szCs w:val="24"/>
          <w:lang w:eastAsia="bg-BG"/>
        </w:rPr>
      </w:pPr>
    </w:p>
    <w:p w14:paraId="0B0FE09B" w14:textId="4EDE7BE3" w:rsidR="007C5908" w:rsidRPr="00D97F1A"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6. Предлагани методи за строителство.</w:t>
      </w:r>
    </w:p>
    <w:p w14:paraId="60A25140" w14:textId="77777777" w:rsidR="00D97F1A" w:rsidRDefault="00D97F1A" w:rsidP="00D97F1A">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4843806B" w14:textId="77777777" w:rsidR="00D97F1A" w:rsidRPr="00A410C5" w:rsidRDefault="00D97F1A" w:rsidP="00A410C5">
      <w:pPr>
        <w:shd w:val="clear" w:color="auto" w:fill="FEFEFE"/>
        <w:spacing w:after="0" w:line="240" w:lineRule="auto"/>
        <w:jc w:val="both"/>
        <w:rPr>
          <w:rFonts w:ascii="Times New Roman" w:eastAsia="Times New Roman" w:hAnsi="Times New Roman" w:cs="Times New Roman"/>
          <w:color w:val="000000"/>
          <w:sz w:val="24"/>
          <w:szCs w:val="24"/>
          <w:lang w:eastAsia="bg-BG"/>
        </w:rPr>
      </w:pPr>
    </w:p>
    <w:p w14:paraId="7B28441E" w14:textId="390AAE44" w:rsidR="007C5908"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7. Доказване на необходимостта от инвестиционното предложение.</w:t>
      </w:r>
    </w:p>
    <w:p w14:paraId="3B78AF67" w14:textId="77777777" w:rsidR="00D97F1A" w:rsidRDefault="00D97F1A" w:rsidP="00D97F1A">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69CC3813" w14:textId="77777777" w:rsidR="00D97F1A" w:rsidRPr="00D97F1A" w:rsidRDefault="00D97F1A"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p>
    <w:p w14:paraId="52CA1A60" w14:textId="1FEDDC7C" w:rsidR="007C5908"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8. План, карти и снимки, показващи границите на инвестиционното предложение, даващи информация за физическите, природните и антропогенните характеристики, както и за разположените в близост елементи от Националната екологична мрежа и най-близко разположените обекти, подлежащи на здравна защита, и отстоянията до тях.</w:t>
      </w:r>
    </w:p>
    <w:p w14:paraId="6D44745D" w14:textId="77777777" w:rsidR="00D97F1A" w:rsidRDefault="00D97F1A" w:rsidP="00D97F1A">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03304144" w14:textId="77777777" w:rsidR="00D97F1A" w:rsidRPr="00D97F1A" w:rsidRDefault="00D97F1A"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p>
    <w:p w14:paraId="2E62A8DF" w14:textId="7631097F" w:rsidR="007C5908"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9. Съществуващо земеползване по границите на площадката или трасето на инвестиционното предложение.</w:t>
      </w:r>
    </w:p>
    <w:p w14:paraId="56653BBA" w14:textId="77777777" w:rsidR="00D97F1A" w:rsidRDefault="00D97F1A" w:rsidP="00D97F1A">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52464BB1" w14:textId="77777777" w:rsidR="00D97F1A" w:rsidRPr="00D97F1A" w:rsidRDefault="00D97F1A"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p>
    <w:p w14:paraId="19F53E3E" w14:textId="04B141D0" w:rsidR="007C5908"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10. Чувствителни територии, в т.ч. чувствителни зони, уязвими зони, защитени зони, санитарно-охранителни зони около водоизточниците и съоръженията за питейно-битово водоснабдяване и около водоизточниците на минерални води, използвани за лечебни, профилактични, питейни и хигиенни нужди и др.; Национална екологична мрежа.</w:t>
      </w:r>
    </w:p>
    <w:p w14:paraId="0A580541" w14:textId="77777777" w:rsidR="00D97F1A" w:rsidRDefault="00D97F1A" w:rsidP="00D97F1A">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1F3689FA" w14:textId="77777777" w:rsidR="00D97F1A" w:rsidRPr="00D97F1A" w:rsidRDefault="00D97F1A"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p>
    <w:p w14:paraId="70619215" w14:textId="6DCE4263" w:rsidR="007C5908"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11. Други дейности, свързани с инвестиционното предложение (например добив на строителни материали, нов водопровод, добив или пренасяне на енергия, жилищно строителство).</w:t>
      </w:r>
    </w:p>
    <w:p w14:paraId="4ED413A5" w14:textId="77777777" w:rsidR="00D97F1A" w:rsidRDefault="00D97F1A" w:rsidP="00D97F1A">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1CD5BD83" w14:textId="77777777" w:rsidR="00D97F1A" w:rsidRPr="00D97F1A" w:rsidRDefault="00D97F1A"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p>
    <w:p w14:paraId="6A2E2D5B" w14:textId="39027E9A" w:rsidR="007C5908"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12. Необходимост от други разрешителни, свързани с инвестиционното предложение.</w:t>
      </w:r>
    </w:p>
    <w:p w14:paraId="68ABB454" w14:textId="77777777" w:rsidR="00D97F1A" w:rsidRDefault="00D97F1A" w:rsidP="00D97F1A">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2FBFB5BC" w14:textId="77777777" w:rsidR="00D97F1A" w:rsidRPr="00D97F1A" w:rsidRDefault="00D97F1A"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p>
    <w:p w14:paraId="088EF479" w14:textId="77777777" w:rsidR="007C5908" w:rsidRPr="00D97F1A"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III. Местоположение на инвестиционното предложение, което може да окаже отрицателно въздействие върху нестабилните екологични характеристики на географските райони, поради което тези характеристики трябва да се вземат под внимание, и по-конкретно:</w:t>
      </w:r>
    </w:p>
    <w:p w14:paraId="6F457576" w14:textId="77777777" w:rsidR="007C5908" w:rsidRPr="00A410C5" w:rsidRDefault="007C5908" w:rsidP="00A410C5">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A410C5">
        <w:rPr>
          <w:rFonts w:ascii="Times New Roman" w:eastAsia="Times New Roman" w:hAnsi="Times New Roman" w:cs="Times New Roman"/>
          <w:color w:val="000000"/>
          <w:sz w:val="24"/>
          <w:szCs w:val="24"/>
          <w:lang w:eastAsia="bg-BG"/>
        </w:rPr>
        <w:t>1. съществуващо и одобрено земеползване;</w:t>
      </w:r>
    </w:p>
    <w:p w14:paraId="56B80FD9" w14:textId="77777777" w:rsidR="007C5908" w:rsidRPr="00A410C5" w:rsidRDefault="007C5908" w:rsidP="00A410C5">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A410C5">
        <w:rPr>
          <w:rFonts w:ascii="Times New Roman" w:eastAsia="Times New Roman" w:hAnsi="Times New Roman" w:cs="Times New Roman"/>
          <w:color w:val="000000"/>
          <w:sz w:val="24"/>
          <w:szCs w:val="24"/>
          <w:lang w:eastAsia="bg-BG"/>
        </w:rPr>
        <w:t>2. мочурища, крайречни области, речни устия;</w:t>
      </w:r>
    </w:p>
    <w:p w14:paraId="6E44EBE5" w14:textId="77777777" w:rsidR="007C5908" w:rsidRPr="00A410C5" w:rsidRDefault="007C5908" w:rsidP="00A410C5">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A410C5">
        <w:rPr>
          <w:rFonts w:ascii="Times New Roman" w:eastAsia="Times New Roman" w:hAnsi="Times New Roman" w:cs="Times New Roman"/>
          <w:color w:val="000000"/>
          <w:sz w:val="24"/>
          <w:szCs w:val="24"/>
          <w:lang w:eastAsia="bg-BG"/>
        </w:rPr>
        <w:t>3. крайбрежни зони и морска околна среда;</w:t>
      </w:r>
    </w:p>
    <w:p w14:paraId="651A97E4" w14:textId="77777777" w:rsidR="007C5908" w:rsidRPr="00A410C5" w:rsidRDefault="007C5908" w:rsidP="00A410C5">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A410C5">
        <w:rPr>
          <w:rFonts w:ascii="Times New Roman" w:eastAsia="Times New Roman" w:hAnsi="Times New Roman" w:cs="Times New Roman"/>
          <w:color w:val="000000"/>
          <w:sz w:val="24"/>
          <w:szCs w:val="24"/>
          <w:lang w:eastAsia="bg-BG"/>
        </w:rPr>
        <w:t>4. планински и горски райони;</w:t>
      </w:r>
    </w:p>
    <w:p w14:paraId="4841EEA7" w14:textId="77777777" w:rsidR="007C5908" w:rsidRPr="00A410C5" w:rsidRDefault="007C5908" w:rsidP="00A410C5">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A410C5">
        <w:rPr>
          <w:rFonts w:ascii="Times New Roman" w:eastAsia="Times New Roman" w:hAnsi="Times New Roman" w:cs="Times New Roman"/>
          <w:color w:val="000000"/>
          <w:sz w:val="24"/>
          <w:szCs w:val="24"/>
          <w:lang w:eastAsia="bg-BG"/>
        </w:rPr>
        <w:t>5. защитени със закон територии;</w:t>
      </w:r>
    </w:p>
    <w:p w14:paraId="246D5AEE" w14:textId="77777777" w:rsidR="007C5908" w:rsidRPr="00A410C5" w:rsidRDefault="007C5908" w:rsidP="00A410C5">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A410C5">
        <w:rPr>
          <w:rFonts w:ascii="Times New Roman" w:eastAsia="Times New Roman" w:hAnsi="Times New Roman" w:cs="Times New Roman"/>
          <w:color w:val="000000"/>
          <w:sz w:val="24"/>
          <w:szCs w:val="24"/>
          <w:lang w:eastAsia="bg-BG"/>
        </w:rPr>
        <w:t>6. засегнати елементи от Националната екологична мрежа;</w:t>
      </w:r>
    </w:p>
    <w:p w14:paraId="12462345" w14:textId="77777777" w:rsidR="007C5908" w:rsidRPr="00A410C5" w:rsidRDefault="007C5908" w:rsidP="00A410C5">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A410C5">
        <w:rPr>
          <w:rFonts w:ascii="Times New Roman" w:eastAsia="Times New Roman" w:hAnsi="Times New Roman" w:cs="Times New Roman"/>
          <w:color w:val="000000"/>
          <w:sz w:val="24"/>
          <w:szCs w:val="24"/>
          <w:lang w:eastAsia="bg-BG"/>
        </w:rPr>
        <w:t>7. ландшафт и обекти с историческа, културна или археологическа стойност;</w:t>
      </w:r>
    </w:p>
    <w:p w14:paraId="27C3DA7F" w14:textId="77777777" w:rsidR="007C5908" w:rsidRPr="00A410C5" w:rsidRDefault="007C5908" w:rsidP="00A410C5">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A410C5">
        <w:rPr>
          <w:rFonts w:ascii="Times New Roman" w:eastAsia="Times New Roman" w:hAnsi="Times New Roman" w:cs="Times New Roman"/>
          <w:color w:val="000000"/>
          <w:sz w:val="24"/>
          <w:szCs w:val="24"/>
          <w:lang w:eastAsia="bg-BG"/>
        </w:rPr>
        <w:t>8. територии и/или зони и обекти със специфичен санитарен статут или подлежащи на здравна защита.</w:t>
      </w:r>
    </w:p>
    <w:p w14:paraId="1FA1F81B" w14:textId="77777777" w:rsidR="007C5908" w:rsidRPr="00D97F1A"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IV. Тип и характеристики на потенциалното въздействие върху околната среда, като се вземат предвид вероятните значителни последици за околната среда вследствие на реализацията на инвестиционното предложение:</w:t>
      </w:r>
    </w:p>
    <w:p w14:paraId="23B7DF9A" w14:textId="3BB02EFD" w:rsidR="007C5908" w:rsidRPr="00D97F1A" w:rsidRDefault="00D97F1A" w:rsidP="00D97F1A">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Pr>
          <w:rFonts w:ascii="Times New Roman" w:eastAsia="Times New Roman" w:hAnsi="Times New Roman" w:cs="Times New Roman"/>
          <w:b/>
          <w:bCs/>
          <w:color w:val="000000"/>
          <w:sz w:val="24"/>
          <w:szCs w:val="24"/>
          <w:u w:val="single"/>
          <w:lang w:eastAsia="bg-BG"/>
        </w:rPr>
        <w:t>1.</w:t>
      </w:r>
      <w:r w:rsidR="007C5908" w:rsidRPr="00D97F1A">
        <w:rPr>
          <w:rFonts w:ascii="Times New Roman" w:eastAsia="Times New Roman" w:hAnsi="Times New Roman" w:cs="Times New Roman"/>
          <w:b/>
          <w:bCs/>
          <w:color w:val="000000"/>
          <w:sz w:val="24"/>
          <w:szCs w:val="24"/>
          <w:u w:val="single"/>
          <w:lang w:eastAsia="bg-BG"/>
        </w:rPr>
        <w:t>Въздействие върху населението и човешкото здраве, материалните активи, културното наследство, въздуха, водата, почвата, земните недра, ландшафта, климата, биологичното разнообразие и неговите елементи и защитените територии.</w:t>
      </w:r>
    </w:p>
    <w:p w14:paraId="71077A0C" w14:textId="77777777" w:rsidR="00D97F1A" w:rsidRDefault="00D97F1A" w:rsidP="00D97F1A">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79CBEBCB" w14:textId="77777777" w:rsidR="00D97F1A" w:rsidRPr="00D97F1A" w:rsidRDefault="00D97F1A" w:rsidP="00D97F1A">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p>
    <w:p w14:paraId="6009EED6" w14:textId="46E20BE8" w:rsidR="007C5908"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2. Въздействие върху елементи от Националната екологична мрежа, включително на разположените в близост до инвестиционното предложение.</w:t>
      </w:r>
    </w:p>
    <w:p w14:paraId="48E79CE7" w14:textId="77777777" w:rsidR="00D97F1A" w:rsidRDefault="00D97F1A" w:rsidP="00D97F1A">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68EF8C56" w14:textId="77777777" w:rsidR="00D97F1A" w:rsidRPr="00D97F1A" w:rsidRDefault="00D97F1A"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p>
    <w:p w14:paraId="781C640D" w14:textId="77777777" w:rsidR="007C5908" w:rsidRPr="00D97F1A"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3. Очакваните последици, произтичащи от уязвимостта на инвестиционното предложение от риск от големи аварии и/или бедствия.</w:t>
      </w:r>
    </w:p>
    <w:p w14:paraId="74373E88" w14:textId="787B25B4" w:rsidR="007C5908"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lastRenderedPageBreak/>
        <w:t>4. Вид и естество на въздействието (пряко, непряко, вторично, кумулативно, краткотрайно, средно- и дълготрайно, постоянно и временно, положително и отрицателно).</w:t>
      </w:r>
    </w:p>
    <w:p w14:paraId="02CE9B5B" w14:textId="77777777" w:rsidR="00D97F1A" w:rsidRDefault="00D97F1A" w:rsidP="00D97F1A">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276257CA" w14:textId="77777777" w:rsidR="00D97F1A" w:rsidRPr="00D97F1A" w:rsidRDefault="00D97F1A"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p>
    <w:p w14:paraId="0666D255" w14:textId="4B2AA3A9" w:rsidR="007C5908"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u w:val="single"/>
          <w:lang w:eastAsia="bg-BG"/>
        </w:rPr>
        <w:t>5. Степен и пространствен обхват на въздействието - географски район; засегнато население; населени места (наименование, вид - град, село, курортно селище, брой на населението, което е вероятно да бъде засегнато, и др.).</w:t>
      </w:r>
    </w:p>
    <w:p w14:paraId="3DD56DAD" w14:textId="30C45481" w:rsidR="00D97F1A" w:rsidRPr="00D97F1A" w:rsidRDefault="00D97F1A" w:rsidP="00A410C5">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7C3673">
        <w:rPr>
          <w:rFonts w:ascii="Times New Roman" w:eastAsia="Times New Roman" w:hAnsi="Times New Roman" w:cs="Times New Roman"/>
          <w:color w:val="000000"/>
          <w:sz w:val="24"/>
          <w:szCs w:val="24"/>
          <w:highlight w:val="yellow"/>
          <w:lang w:eastAsia="bg-BG"/>
        </w:rPr>
        <w:t>Населеното място е село Арчар, община Димово, област Видин. Населеното място е най-голямото такова както по територия, така и по брой население в Община Димово.</w:t>
      </w:r>
      <w:r w:rsidR="007C3673" w:rsidRPr="007C3673">
        <w:rPr>
          <w:rFonts w:ascii="Times New Roman" w:eastAsia="Times New Roman" w:hAnsi="Times New Roman" w:cs="Times New Roman"/>
          <w:color w:val="000000"/>
          <w:sz w:val="24"/>
          <w:szCs w:val="24"/>
          <w:highlight w:val="yellow"/>
          <w:lang w:eastAsia="bg-BG"/>
        </w:rPr>
        <w:t xml:space="preserve"> Броят на населението, което ще бъде засегнато е 2550 жители.</w:t>
      </w:r>
    </w:p>
    <w:p w14:paraId="319FC226" w14:textId="76EAA07E" w:rsidR="007C5908"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7C3673">
        <w:rPr>
          <w:rFonts w:ascii="Times New Roman" w:eastAsia="Times New Roman" w:hAnsi="Times New Roman" w:cs="Times New Roman"/>
          <w:b/>
          <w:bCs/>
          <w:color w:val="000000"/>
          <w:sz w:val="24"/>
          <w:szCs w:val="24"/>
          <w:u w:val="single"/>
          <w:lang w:eastAsia="bg-BG"/>
        </w:rPr>
        <w:t>6. Вероятност, интензивност, комплексност на въздействието.</w:t>
      </w:r>
    </w:p>
    <w:p w14:paraId="257F3CD9" w14:textId="77777777" w:rsidR="007C3673" w:rsidRDefault="007C3673" w:rsidP="007C3673">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221BF47E" w14:textId="77777777" w:rsidR="007C3673" w:rsidRPr="007C3673" w:rsidRDefault="007C3673"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p>
    <w:p w14:paraId="58E7F948" w14:textId="1D4E17B7" w:rsidR="007C5908"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7C3673">
        <w:rPr>
          <w:rFonts w:ascii="Times New Roman" w:eastAsia="Times New Roman" w:hAnsi="Times New Roman" w:cs="Times New Roman"/>
          <w:b/>
          <w:bCs/>
          <w:color w:val="000000"/>
          <w:sz w:val="24"/>
          <w:szCs w:val="24"/>
          <w:u w:val="single"/>
          <w:lang w:eastAsia="bg-BG"/>
        </w:rPr>
        <w:t>7. Очакваното настъпване, продължителността, честотата и обратимостта на въздействието.</w:t>
      </w:r>
    </w:p>
    <w:p w14:paraId="44726395" w14:textId="77777777" w:rsidR="007C3673" w:rsidRDefault="007C3673" w:rsidP="007C3673">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57F09AE0" w14:textId="77777777" w:rsidR="007C3673" w:rsidRPr="007C3673" w:rsidRDefault="007C3673"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p>
    <w:p w14:paraId="565311F3" w14:textId="73632DA8" w:rsidR="007C5908"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7C3673">
        <w:rPr>
          <w:rFonts w:ascii="Times New Roman" w:eastAsia="Times New Roman" w:hAnsi="Times New Roman" w:cs="Times New Roman"/>
          <w:b/>
          <w:bCs/>
          <w:color w:val="000000"/>
          <w:sz w:val="24"/>
          <w:szCs w:val="24"/>
          <w:u w:val="single"/>
          <w:lang w:eastAsia="bg-BG"/>
        </w:rPr>
        <w:t>8. Комбинирането с въздействия на други съществуващи и/или одобрени инвестиционни предложения.</w:t>
      </w:r>
    </w:p>
    <w:p w14:paraId="05E7A710" w14:textId="77777777" w:rsidR="007C3673" w:rsidRDefault="007C3673" w:rsidP="007C3673">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3EDB80C4" w14:textId="77777777" w:rsidR="007C3673" w:rsidRPr="007C3673" w:rsidRDefault="007C3673"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p>
    <w:p w14:paraId="4BE48C77" w14:textId="2300CBB5" w:rsidR="007C5908"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7C3673">
        <w:rPr>
          <w:rFonts w:ascii="Times New Roman" w:eastAsia="Times New Roman" w:hAnsi="Times New Roman" w:cs="Times New Roman"/>
          <w:b/>
          <w:bCs/>
          <w:color w:val="000000"/>
          <w:sz w:val="24"/>
          <w:szCs w:val="24"/>
          <w:u w:val="single"/>
          <w:lang w:eastAsia="bg-BG"/>
        </w:rPr>
        <w:t>9. Възможността за ефективно намаляване на въздействията.</w:t>
      </w:r>
    </w:p>
    <w:p w14:paraId="7EEF4D10" w14:textId="77777777" w:rsidR="007C3673" w:rsidRDefault="007C3673" w:rsidP="007C3673">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7093AFC0" w14:textId="77777777" w:rsidR="007C3673" w:rsidRPr="007C3673" w:rsidRDefault="007C3673"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p>
    <w:p w14:paraId="19ED8E5E" w14:textId="3D6C5C51" w:rsidR="007C5908" w:rsidRPr="007C3673"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7C3673">
        <w:rPr>
          <w:rFonts w:ascii="Times New Roman" w:eastAsia="Times New Roman" w:hAnsi="Times New Roman" w:cs="Times New Roman"/>
          <w:b/>
          <w:bCs/>
          <w:color w:val="000000"/>
          <w:sz w:val="24"/>
          <w:szCs w:val="24"/>
          <w:u w:val="single"/>
          <w:lang w:eastAsia="bg-BG"/>
        </w:rPr>
        <w:t>10. Трансграничен характер на въздействието.</w:t>
      </w:r>
    </w:p>
    <w:p w14:paraId="082916D3" w14:textId="77777777" w:rsidR="007C3673" w:rsidRDefault="007C3673" w:rsidP="007C3673">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011E72DC" w14:textId="77777777" w:rsidR="007C3673" w:rsidRPr="00A410C5" w:rsidRDefault="007C3673" w:rsidP="00A410C5">
      <w:pPr>
        <w:shd w:val="clear" w:color="auto" w:fill="FEFEFE"/>
        <w:spacing w:after="0" w:line="240" w:lineRule="auto"/>
        <w:jc w:val="both"/>
        <w:rPr>
          <w:rFonts w:ascii="Times New Roman" w:eastAsia="Times New Roman" w:hAnsi="Times New Roman" w:cs="Times New Roman"/>
          <w:color w:val="000000"/>
          <w:sz w:val="24"/>
          <w:szCs w:val="24"/>
          <w:lang w:eastAsia="bg-BG"/>
        </w:rPr>
      </w:pPr>
    </w:p>
    <w:p w14:paraId="497B7D85" w14:textId="2B5D5946" w:rsidR="007C5908" w:rsidRPr="007C3673"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7C3673">
        <w:rPr>
          <w:rFonts w:ascii="Times New Roman" w:eastAsia="Times New Roman" w:hAnsi="Times New Roman" w:cs="Times New Roman"/>
          <w:b/>
          <w:bCs/>
          <w:color w:val="000000"/>
          <w:sz w:val="24"/>
          <w:szCs w:val="24"/>
          <w:u w:val="single"/>
          <w:lang w:eastAsia="bg-BG"/>
        </w:rPr>
        <w:t>11. Мерки, които е необходимо да се включат в инвестиционното предложение, свързани с избягване, предотвратяване, намаляване или компенсиране на предполагаемите значителни отрицателни въздействия върху околната среда и човешкото здраве.</w:t>
      </w:r>
    </w:p>
    <w:p w14:paraId="43278698" w14:textId="77777777" w:rsidR="007C3673" w:rsidRDefault="007C3673" w:rsidP="007C3673">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D97F1A">
        <w:rPr>
          <w:rFonts w:ascii="Times New Roman" w:eastAsia="Times New Roman" w:hAnsi="Times New Roman" w:cs="Times New Roman"/>
          <w:b/>
          <w:bCs/>
          <w:color w:val="000000"/>
          <w:sz w:val="24"/>
          <w:szCs w:val="24"/>
          <w:highlight w:val="yellow"/>
          <w:u w:val="single"/>
          <w:lang w:eastAsia="bg-BG"/>
        </w:rPr>
        <w:t>...............................................</w:t>
      </w:r>
    </w:p>
    <w:p w14:paraId="37368F62" w14:textId="77777777" w:rsidR="007C3673" w:rsidRPr="00A410C5" w:rsidRDefault="007C3673" w:rsidP="00A410C5">
      <w:pPr>
        <w:shd w:val="clear" w:color="auto" w:fill="FEFEFE"/>
        <w:spacing w:after="0" w:line="240" w:lineRule="auto"/>
        <w:jc w:val="both"/>
        <w:rPr>
          <w:rFonts w:ascii="Times New Roman" w:eastAsia="Times New Roman" w:hAnsi="Times New Roman" w:cs="Times New Roman"/>
          <w:color w:val="000000"/>
          <w:sz w:val="24"/>
          <w:szCs w:val="24"/>
          <w:lang w:eastAsia="bg-BG"/>
        </w:rPr>
      </w:pPr>
    </w:p>
    <w:p w14:paraId="218B3B33" w14:textId="77777777" w:rsidR="007C5908" w:rsidRPr="007C3673" w:rsidRDefault="007C5908" w:rsidP="00A410C5">
      <w:pPr>
        <w:shd w:val="clear" w:color="auto" w:fill="FEFEFE"/>
        <w:spacing w:after="0" w:line="240" w:lineRule="auto"/>
        <w:jc w:val="both"/>
        <w:rPr>
          <w:rFonts w:ascii="Times New Roman" w:eastAsia="Times New Roman" w:hAnsi="Times New Roman" w:cs="Times New Roman"/>
          <w:b/>
          <w:bCs/>
          <w:color w:val="000000"/>
          <w:sz w:val="24"/>
          <w:szCs w:val="24"/>
          <w:u w:val="single"/>
          <w:lang w:eastAsia="bg-BG"/>
        </w:rPr>
      </w:pPr>
      <w:r w:rsidRPr="007C3673">
        <w:rPr>
          <w:rFonts w:ascii="Times New Roman" w:eastAsia="Times New Roman" w:hAnsi="Times New Roman" w:cs="Times New Roman"/>
          <w:b/>
          <w:bCs/>
          <w:color w:val="000000"/>
          <w:sz w:val="24"/>
          <w:szCs w:val="24"/>
          <w:u w:val="single"/>
          <w:lang w:eastAsia="bg-BG"/>
        </w:rPr>
        <w:t>V. Обществен интерес към инвестиционното предложение.</w:t>
      </w:r>
    </w:p>
    <w:p w14:paraId="2B9E6C94" w14:textId="5E634B3C" w:rsidR="00FD753F" w:rsidRDefault="00FD753F" w:rsidP="00A410C5">
      <w:pPr>
        <w:jc w:val="both"/>
        <w:rPr>
          <w:rFonts w:ascii="Times New Roman" w:hAnsi="Times New Roman" w:cs="Times New Roman"/>
          <w:b/>
          <w:bCs/>
          <w:sz w:val="24"/>
          <w:szCs w:val="24"/>
          <w:u w:val="single"/>
        </w:rPr>
      </w:pPr>
    </w:p>
    <w:p w14:paraId="224A2AB8" w14:textId="446D0A02" w:rsidR="007C3673" w:rsidRPr="007C3673" w:rsidRDefault="007C3673" w:rsidP="00A410C5">
      <w:pPr>
        <w:jc w:val="both"/>
        <w:rPr>
          <w:rFonts w:ascii="Times New Roman" w:hAnsi="Times New Roman" w:cs="Times New Roman"/>
          <w:sz w:val="24"/>
          <w:szCs w:val="24"/>
        </w:rPr>
      </w:pPr>
      <w:r w:rsidRPr="007C3673">
        <w:rPr>
          <w:rFonts w:ascii="Times New Roman" w:hAnsi="Times New Roman" w:cs="Times New Roman"/>
          <w:sz w:val="24"/>
          <w:szCs w:val="24"/>
        </w:rPr>
        <w:t>Инвестиционното предложение представлява такова с широк обществен интерес. Факт е, че към настоящият момент в с. Арчар няма изградена ПСОВ и канализация. Съществуването на ПСОВ съответно предпоставя и изграждането на канализация. Населението на с. Арчар ще бъде удовлетворено от изграждането и на двете.</w:t>
      </w:r>
    </w:p>
    <w:sectPr w:rsidR="007C3673" w:rsidRPr="007C36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91F64"/>
    <w:multiLevelType w:val="hybridMultilevel"/>
    <w:tmpl w:val="F7342012"/>
    <w:lvl w:ilvl="0" w:tplc="3A647302">
      <w:start w:val="2"/>
      <w:numFmt w:val="bullet"/>
      <w:lvlText w:val="-"/>
      <w:lvlJc w:val="left"/>
      <w:pPr>
        <w:ind w:left="1146" w:hanging="360"/>
      </w:pPr>
      <w:rPr>
        <w:rFonts w:ascii="Arial" w:eastAsia="Times New Roman" w:hAnsi="Arial" w:cs="Arial" w:hint="default"/>
      </w:rPr>
    </w:lvl>
    <w:lvl w:ilvl="1" w:tplc="04020003">
      <w:start w:val="1"/>
      <w:numFmt w:val="bullet"/>
      <w:lvlText w:val="o"/>
      <w:lvlJc w:val="left"/>
      <w:pPr>
        <w:ind w:left="1866" w:hanging="360"/>
      </w:pPr>
      <w:rPr>
        <w:rFonts w:ascii="Courier New" w:hAnsi="Courier New" w:cs="Courier New" w:hint="default"/>
      </w:rPr>
    </w:lvl>
    <w:lvl w:ilvl="2" w:tplc="04020005">
      <w:start w:val="1"/>
      <w:numFmt w:val="bullet"/>
      <w:lvlText w:val=""/>
      <w:lvlJc w:val="left"/>
      <w:pPr>
        <w:ind w:left="2586" w:hanging="360"/>
      </w:pPr>
      <w:rPr>
        <w:rFonts w:ascii="Wingdings" w:hAnsi="Wingdings" w:hint="default"/>
      </w:rPr>
    </w:lvl>
    <w:lvl w:ilvl="3" w:tplc="04020001">
      <w:start w:val="1"/>
      <w:numFmt w:val="bullet"/>
      <w:lvlText w:val=""/>
      <w:lvlJc w:val="left"/>
      <w:pPr>
        <w:ind w:left="3306" w:hanging="360"/>
      </w:pPr>
      <w:rPr>
        <w:rFonts w:ascii="Symbol" w:hAnsi="Symbol" w:hint="default"/>
      </w:rPr>
    </w:lvl>
    <w:lvl w:ilvl="4" w:tplc="04020003">
      <w:start w:val="1"/>
      <w:numFmt w:val="bullet"/>
      <w:lvlText w:val="o"/>
      <w:lvlJc w:val="left"/>
      <w:pPr>
        <w:ind w:left="4026" w:hanging="360"/>
      </w:pPr>
      <w:rPr>
        <w:rFonts w:ascii="Courier New" w:hAnsi="Courier New" w:cs="Courier New" w:hint="default"/>
      </w:rPr>
    </w:lvl>
    <w:lvl w:ilvl="5" w:tplc="04020005">
      <w:start w:val="1"/>
      <w:numFmt w:val="bullet"/>
      <w:lvlText w:val=""/>
      <w:lvlJc w:val="left"/>
      <w:pPr>
        <w:ind w:left="4746" w:hanging="360"/>
      </w:pPr>
      <w:rPr>
        <w:rFonts w:ascii="Wingdings" w:hAnsi="Wingdings" w:hint="default"/>
      </w:rPr>
    </w:lvl>
    <w:lvl w:ilvl="6" w:tplc="04020001">
      <w:start w:val="1"/>
      <w:numFmt w:val="bullet"/>
      <w:lvlText w:val=""/>
      <w:lvlJc w:val="left"/>
      <w:pPr>
        <w:ind w:left="5466" w:hanging="360"/>
      </w:pPr>
      <w:rPr>
        <w:rFonts w:ascii="Symbol" w:hAnsi="Symbol" w:hint="default"/>
      </w:rPr>
    </w:lvl>
    <w:lvl w:ilvl="7" w:tplc="04020003">
      <w:start w:val="1"/>
      <w:numFmt w:val="bullet"/>
      <w:lvlText w:val="o"/>
      <w:lvlJc w:val="left"/>
      <w:pPr>
        <w:ind w:left="6186" w:hanging="360"/>
      </w:pPr>
      <w:rPr>
        <w:rFonts w:ascii="Courier New" w:hAnsi="Courier New" w:cs="Courier New" w:hint="default"/>
      </w:rPr>
    </w:lvl>
    <w:lvl w:ilvl="8" w:tplc="04020005">
      <w:start w:val="1"/>
      <w:numFmt w:val="bullet"/>
      <w:lvlText w:val=""/>
      <w:lvlJc w:val="left"/>
      <w:pPr>
        <w:ind w:left="6906" w:hanging="360"/>
      </w:pPr>
      <w:rPr>
        <w:rFonts w:ascii="Wingdings" w:hAnsi="Wingdings" w:hint="default"/>
      </w:rPr>
    </w:lvl>
  </w:abstractNum>
  <w:abstractNum w:abstractNumId="1" w15:restartNumberingAfterBreak="0">
    <w:nsid w:val="55E75121"/>
    <w:multiLevelType w:val="hybridMultilevel"/>
    <w:tmpl w:val="8ACC2660"/>
    <w:lvl w:ilvl="0" w:tplc="72E2DF78">
      <w:start w:val="1"/>
      <w:numFmt w:val="bullet"/>
      <w:lvlText w:val="-"/>
      <w:lvlJc w:val="left"/>
      <w:pPr>
        <w:ind w:left="786" w:hanging="360"/>
      </w:pPr>
      <w:rPr>
        <w:rFonts w:ascii="Arial" w:eastAsia="Times New Roman" w:hAnsi="Arial" w:cs="Arial" w:hint="default"/>
      </w:rPr>
    </w:lvl>
    <w:lvl w:ilvl="1" w:tplc="04020003">
      <w:start w:val="1"/>
      <w:numFmt w:val="bullet"/>
      <w:lvlText w:val="o"/>
      <w:lvlJc w:val="left"/>
      <w:pPr>
        <w:ind w:left="1506" w:hanging="360"/>
      </w:pPr>
      <w:rPr>
        <w:rFonts w:ascii="Courier New" w:hAnsi="Courier New" w:cs="Courier New" w:hint="default"/>
      </w:rPr>
    </w:lvl>
    <w:lvl w:ilvl="2" w:tplc="04020005">
      <w:start w:val="1"/>
      <w:numFmt w:val="bullet"/>
      <w:lvlText w:val=""/>
      <w:lvlJc w:val="left"/>
      <w:pPr>
        <w:ind w:left="2226" w:hanging="360"/>
      </w:pPr>
      <w:rPr>
        <w:rFonts w:ascii="Wingdings" w:hAnsi="Wingdings" w:hint="default"/>
      </w:rPr>
    </w:lvl>
    <w:lvl w:ilvl="3" w:tplc="04020001">
      <w:start w:val="1"/>
      <w:numFmt w:val="bullet"/>
      <w:lvlText w:val=""/>
      <w:lvlJc w:val="left"/>
      <w:pPr>
        <w:ind w:left="2946" w:hanging="360"/>
      </w:pPr>
      <w:rPr>
        <w:rFonts w:ascii="Symbol" w:hAnsi="Symbol" w:hint="default"/>
      </w:rPr>
    </w:lvl>
    <w:lvl w:ilvl="4" w:tplc="04020003">
      <w:start w:val="1"/>
      <w:numFmt w:val="bullet"/>
      <w:lvlText w:val="o"/>
      <w:lvlJc w:val="left"/>
      <w:pPr>
        <w:ind w:left="3666" w:hanging="360"/>
      </w:pPr>
      <w:rPr>
        <w:rFonts w:ascii="Courier New" w:hAnsi="Courier New" w:cs="Courier New" w:hint="default"/>
      </w:rPr>
    </w:lvl>
    <w:lvl w:ilvl="5" w:tplc="04020005">
      <w:start w:val="1"/>
      <w:numFmt w:val="bullet"/>
      <w:lvlText w:val=""/>
      <w:lvlJc w:val="left"/>
      <w:pPr>
        <w:ind w:left="4386" w:hanging="360"/>
      </w:pPr>
      <w:rPr>
        <w:rFonts w:ascii="Wingdings" w:hAnsi="Wingdings" w:hint="default"/>
      </w:rPr>
    </w:lvl>
    <w:lvl w:ilvl="6" w:tplc="04020001">
      <w:start w:val="1"/>
      <w:numFmt w:val="bullet"/>
      <w:lvlText w:val=""/>
      <w:lvlJc w:val="left"/>
      <w:pPr>
        <w:ind w:left="5106" w:hanging="360"/>
      </w:pPr>
      <w:rPr>
        <w:rFonts w:ascii="Symbol" w:hAnsi="Symbol" w:hint="default"/>
      </w:rPr>
    </w:lvl>
    <w:lvl w:ilvl="7" w:tplc="04020003">
      <w:start w:val="1"/>
      <w:numFmt w:val="bullet"/>
      <w:lvlText w:val="o"/>
      <w:lvlJc w:val="left"/>
      <w:pPr>
        <w:ind w:left="5826" w:hanging="360"/>
      </w:pPr>
      <w:rPr>
        <w:rFonts w:ascii="Courier New" w:hAnsi="Courier New" w:cs="Courier New" w:hint="default"/>
      </w:rPr>
    </w:lvl>
    <w:lvl w:ilvl="8" w:tplc="04020005">
      <w:start w:val="1"/>
      <w:numFmt w:val="bullet"/>
      <w:lvlText w:val=""/>
      <w:lvlJc w:val="left"/>
      <w:pPr>
        <w:ind w:left="6546" w:hanging="360"/>
      </w:pPr>
      <w:rPr>
        <w:rFonts w:ascii="Wingdings" w:hAnsi="Wingdings" w:hint="default"/>
      </w:rPr>
    </w:lvl>
  </w:abstractNum>
  <w:abstractNum w:abstractNumId="2" w15:restartNumberingAfterBreak="0">
    <w:nsid w:val="5AEE182E"/>
    <w:multiLevelType w:val="hybridMultilevel"/>
    <w:tmpl w:val="C46CFF4C"/>
    <w:lvl w:ilvl="0" w:tplc="3A647302">
      <w:start w:val="2"/>
      <w:numFmt w:val="bullet"/>
      <w:lvlText w:val="-"/>
      <w:lvlJc w:val="left"/>
      <w:pPr>
        <w:ind w:left="1146" w:hanging="360"/>
      </w:pPr>
      <w:rPr>
        <w:rFonts w:ascii="Arial" w:eastAsia="Times New Roman" w:hAnsi="Arial" w:cs="Arial" w:hint="default"/>
      </w:rPr>
    </w:lvl>
    <w:lvl w:ilvl="1" w:tplc="04020003">
      <w:start w:val="1"/>
      <w:numFmt w:val="bullet"/>
      <w:lvlText w:val="o"/>
      <w:lvlJc w:val="left"/>
      <w:pPr>
        <w:ind w:left="1866" w:hanging="360"/>
      </w:pPr>
      <w:rPr>
        <w:rFonts w:ascii="Courier New" w:hAnsi="Courier New" w:cs="Courier New" w:hint="default"/>
      </w:rPr>
    </w:lvl>
    <w:lvl w:ilvl="2" w:tplc="04020005">
      <w:start w:val="1"/>
      <w:numFmt w:val="bullet"/>
      <w:lvlText w:val=""/>
      <w:lvlJc w:val="left"/>
      <w:pPr>
        <w:ind w:left="2586" w:hanging="360"/>
      </w:pPr>
      <w:rPr>
        <w:rFonts w:ascii="Wingdings" w:hAnsi="Wingdings" w:hint="default"/>
      </w:rPr>
    </w:lvl>
    <w:lvl w:ilvl="3" w:tplc="04020001">
      <w:start w:val="1"/>
      <w:numFmt w:val="bullet"/>
      <w:lvlText w:val=""/>
      <w:lvlJc w:val="left"/>
      <w:pPr>
        <w:ind w:left="3306" w:hanging="360"/>
      </w:pPr>
      <w:rPr>
        <w:rFonts w:ascii="Symbol" w:hAnsi="Symbol" w:hint="default"/>
      </w:rPr>
    </w:lvl>
    <w:lvl w:ilvl="4" w:tplc="04020003">
      <w:start w:val="1"/>
      <w:numFmt w:val="bullet"/>
      <w:lvlText w:val="o"/>
      <w:lvlJc w:val="left"/>
      <w:pPr>
        <w:ind w:left="4026" w:hanging="360"/>
      </w:pPr>
      <w:rPr>
        <w:rFonts w:ascii="Courier New" w:hAnsi="Courier New" w:cs="Courier New" w:hint="default"/>
      </w:rPr>
    </w:lvl>
    <w:lvl w:ilvl="5" w:tplc="04020005">
      <w:start w:val="1"/>
      <w:numFmt w:val="bullet"/>
      <w:lvlText w:val=""/>
      <w:lvlJc w:val="left"/>
      <w:pPr>
        <w:ind w:left="4746" w:hanging="360"/>
      </w:pPr>
      <w:rPr>
        <w:rFonts w:ascii="Wingdings" w:hAnsi="Wingdings" w:hint="default"/>
      </w:rPr>
    </w:lvl>
    <w:lvl w:ilvl="6" w:tplc="04020001">
      <w:start w:val="1"/>
      <w:numFmt w:val="bullet"/>
      <w:lvlText w:val=""/>
      <w:lvlJc w:val="left"/>
      <w:pPr>
        <w:ind w:left="5466" w:hanging="360"/>
      </w:pPr>
      <w:rPr>
        <w:rFonts w:ascii="Symbol" w:hAnsi="Symbol" w:hint="default"/>
      </w:rPr>
    </w:lvl>
    <w:lvl w:ilvl="7" w:tplc="04020003">
      <w:start w:val="1"/>
      <w:numFmt w:val="bullet"/>
      <w:lvlText w:val="o"/>
      <w:lvlJc w:val="left"/>
      <w:pPr>
        <w:ind w:left="6186" w:hanging="360"/>
      </w:pPr>
      <w:rPr>
        <w:rFonts w:ascii="Courier New" w:hAnsi="Courier New" w:cs="Courier New" w:hint="default"/>
      </w:rPr>
    </w:lvl>
    <w:lvl w:ilvl="8" w:tplc="04020005">
      <w:start w:val="1"/>
      <w:numFmt w:val="bullet"/>
      <w:lvlText w:val=""/>
      <w:lvlJc w:val="left"/>
      <w:pPr>
        <w:ind w:left="6906" w:hanging="360"/>
      </w:pPr>
      <w:rPr>
        <w:rFonts w:ascii="Wingdings" w:hAnsi="Wingdings" w:hint="default"/>
      </w:rPr>
    </w:lvl>
  </w:abstractNum>
  <w:abstractNum w:abstractNumId="3" w15:restartNumberingAfterBreak="0">
    <w:nsid w:val="65401A8B"/>
    <w:multiLevelType w:val="hybridMultilevel"/>
    <w:tmpl w:val="F954B412"/>
    <w:lvl w:ilvl="0" w:tplc="3A647302">
      <w:start w:val="2"/>
      <w:numFmt w:val="bullet"/>
      <w:lvlText w:val="-"/>
      <w:lvlJc w:val="left"/>
      <w:pPr>
        <w:ind w:left="1146" w:hanging="360"/>
      </w:pPr>
      <w:rPr>
        <w:rFonts w:ascii="Arial" w:eastAsia="Times New Roman" w:hAnsi="Arial" w:cs="Arial" w:hint="default"/>
      </w:rPr>
    </w:lvl>
    <w:lvl w:ilvl="1" w:tplc="04020003">
      <w:start w:val="1"/>
      <w:numFmt w:val="bullet"/>
      <w:lvlText w:val="o"/>
      <w:lvlJc w:val="left"/>
      <w:pPr>
        <w:ind w:left="1866" w:hanging="360"/>
      </w:pPr>
      <w:rPr>
        <w:rFonts w:ascii="Courier New" w:hAnsi="Courier New" w:cs="Courier New" w:hint="default"/>
      </w:rPr>
    </w:lvl>
    <w:lvl w:ilvl="2" w:tplc="04020005">
      <w:start w:val="1"/>
      <w:numFmt w:val="bullet"/>
      <w:lvlText w:val=""/>
      <w:lvlJc w:val="left"/>
      <w:pPr>
        <w:ind w:left="2586" w:hanging="360"/>
      </w:pPr>
      <w:rPr>
        <w:rFonts w:ascii="Wingdings" w:hAnsi="Wingdings" w:hint="default"/>
      </w:rPr>
    </w:lvl>
    <w:lvl w:ilvl="3" w:tplc="04020001">
      <w:start w:val="1"/>
      <w:numFmt w:val="bullet"/>
      <w:lvlText w:val=""/>
      <w:lvlJc w:val="left"/>
      <w:pPr>
        <w:ind w:left="3306" w:hanging="360"/>
      </w:pPr>
      <w:rPr>
        <w:rFonts w:ascii="Symbol" w:hAnsi="Symbol" w:hint="default"/>
      </w:rPr>
    </w:lvl>
    <w:lvl w:ilvl="4" w:tplc="04020003">
      <w:start w:val="1"/>
      <w:numFmt w:val="bullet"/>
      <w:lvlText w:val="o"/>
      <w:lvlJc w:val="left"/>
      <w:pPr>
        <w:ind w:left="4026" w:hanging="360"/>
      </w:pPr>
      <w:rPr>
        <w:rFonts w:ascii="Courier New" w:hAnsi="Courier New" w:cs="Courier New" w:hint="default"/>
      </w:rPr>
    </w:lvl>
    <w:lvl w:ilvl="5" w:tplc="04020005">
      <w:start w:val="1"/>
      <w:numFmt w:val="bullet"/>
      <w:lvlText w:val=""/>
      <w:lvlJc w:val="left"/>
      <w:pPr>
        <w:ind w:left="4746" w:hanging="360"/>
      </w:pPr>
      <w:rPr>
        <w:rFonts w:ascii="Wingdings" w:hAnsi="Wingdings" w:hint="default"/>
      </w:rPr>
    </w:lvl>
    <w:lvl w:ilvl="6" w:tplc="04020001">
      <w:start w:val="1"/>
      <w:numFmt w:val="bullet"/>
      <w:lvlText w:val=""/>
      <w:lvlJc w:val="left"/>
      <w:pPr>
        <w:ind w:left="5466" w:hanging="360"/>
      </w:pPr>
      <w:rPr>
        <w:rFonts w:ascii="Symbol" w:hAnsi="Symbol" w:hint="default"/>
      </w:rPr>
    </w:lvl>
    <w:lvl w:ilvl="7" w:tplc="04020003">
      <w:start w:val="1"/>
      <w:numFmt w:val="bullet"/>
      <w:lvlText w:val="o"/>
      <w:lvlJc w:val="left"/>
      <w:pPr>
        <w:ind w:left="6186" w:hanging="360"/>
      </w:pPr>
      <w:rPr>
        <w:rFonts w:ascii="Courier New" w:hAnsi="Courier New" w:cs="Courier New" w:hint="default"/>
      </w:rPr>
    </w:lvl>
    <w:lvl w:ilvl="8" w:tplc="04020005">
      <w:start w:val="1"/>
      <w:numFmt w:val="bullet"/>
      <w:lvlText w:val=""/>
      <w:lvlJc w:val="left"/>
      <w:pPr>
        <w:ind w:left="6906" w:hanging="360"/>
      </w:pPr>
      <w:rPr>
        <w:rFonts w:ascii="Wingdings" w:hAnsi="Wingdings" w:hint="default"/>
      </w:rPr>
    </w:lvl>
  </w:abstractNum>
  <w:abstractNum w:abstractNumId="4" w15:restartNumberingAfterBreak="0">
    <w:nsid w:val="6FDC2B29"/>
    <w:multiLevelType w:val="hybridMultilevel"/>
    <w:tmpl w:val="9B9C37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6771783"/>
    <w:multiLevelType w:val="multilevel"/>
    <w:tmpl w:val="EFD67B84"/>
    <w:lvl w:ilvl="0">
      <w:start w:val="4"/>
      <w:numFmt w:val="decimal"/>
      <w:lvlText w:val="%1."/>
      <w:lvlJc w:val="left"/>
      <w:pPr>
        <w:ind w:left="1495" w:hanging="360"/>
      </w:pPr>
    </w:lvl>
    <w:lvl w:ilvl="1">
      <w:start w:val="1"/>
      <w:numFmt w:val="decimal"/>
      <w:isLgl/>
      <w:lvlText w:val="%1.%2."/>
      <w:lvlJc w:val="left"/>
      <w:pPr>
        <w:ind w:left="1494" w:hanging="360"/>
      </w:pPr>
    </w:lvl>
    <w:lvl w:ilvl="2">
      <w:start w:val="1"/>
      <w:numFmt w:val="decimal"/>
      <w:isLgl/>
      <w:lvlText w:val="%1.%2.%3."/>
      <w:lvlJc w:val="left"/>
      <w:pPr>
        <w:ind w:left="1855" w:hanging="720"/>
      </w:pPr>
    </w:lvl>
    <w:lvl w:ilvl="3">
      <w:start w:val="1"/>
      <w:numFmt w:val="decimal"/>
      <w:isLgl/>
      <w:lvlText w:val="%1.%2.%3.%4."/>
      <w:lvlJc w:val="left"/>
      <w:pPr>
        <w:ind w:left="1855" w:hanging="720"/>
      </w:pPr>
    </w:lvl>
    <w:lvl w:ilvl="4">
      <w:start w:val="1"/>
      <w:numFmt w:val="decimal"/>
      <w:isLgl/>
      <w:lvlText w:val="%1.%2.%3.%4.%5."/>
      <w:lvlJc w:val="left"/>
      <w:pPr>
        <w:ind w:left="2215" w:hanging="1080"/>
      </w:pPr>
    </w:lvl>
    <w:lvl w:ilvl="5">
      <w:start w:val="1"/>
      <w:numFmt w:val="decimal"/>
      <w:isLgl/>
      <w:lvlText w:val="%1.%2.%3.%4.%5.%6."/>
      <w:lvlJc w:val="left"/>
      <w:pPr>
        <w:ind w:left="2215" w:hanging="1080"/>
      </w:pPr>
    </w:lvl>
    <w:lvl w:ilvl="6">
      <w:start w:val="1"/>
      <w:numFmt w:val="decimal"/>
      <w:isLgl/>
      <w:lvlText w:val="%1.%2.%3.%4.%5.%6.%7."/>
      <w:lvlJc w:val="left"/>
      <w:pPr>
        <w:ind w:left="2575" w:hanging="1440"/>
      </w:pPr>
    </w:lvl>
    <w:lvl w:ilvl="7">
      <w:start w:val="1"/>
      <w:numFmt w:val="decimal"/>
      <w:isLgl/>
      <w:lvlText w:val="%1.%2.%3.%4.%5.%6.%7.%8."/>
      <w:lvlJc w:val="left"/>
      <w:pPr>
        <w:ind w:left="2575" w:hanging="1440"/>
      </w:pPr>
    </w:lvl>
    <w:lvl w:ilvl="8">
      <w:start w:val="1"/>
      <w:numFmt w:val="decimal"/>
      <w:isLgl/>
      <w:lvlText w:val="%1.%2.%3.%4.%5.%6.%7.%8.%9."/>
      <w:lvlJc w:val="left"/>
      <w:pPr>
        <w:ind w:left="2575" w:hanging="1440"/>
      </w:pPr>
    </w:lvl>
  </w:abstractNum>
  <w:num w:numId="1">
    <w:abstractNumId w:val="1"/>
  </w:num>
  <w:num w:numId="2">
    <w:abstractNumId w:val="2"/>
  </w:num>
  <w:num w:numId="3">
    <w:abstractNumId w:val="0"/>
  </w:num>
  <w:num w:numId="4">
    <w:abstractNumId w:val="3"/>
  </w:num>
  <w:num w:numId="5">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908"/>
    <w:rsid w:val="00344A7D"/>
    <w:rsid w:val="007C3673"/>
    <w:rsid w:val="007C5908"/>
    <w:rsid w:val="008503F7"/>
    <w:rsid w:val="00A410C5"/>
    <w:rsid w:val="00D97F1A"/>
    <w:rsid w:val="00FD753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27FF2"/>
  <w15:chartTrackingRefBased/>
  <w15:docId w15:val="{F982EA97-FBC6-452E-8B54-349F1BAD0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10C5"/>
    <w:pPr>
      <w:ind w:left="720"/>
      <w:contextualSpacing/>
    </w:pPr>
  </w:style>
  <w:style w:type="paragraph" w:styleId="a4">
    <w:name w:val="No Spacing"/>
    <w:uiPriority w:val="1"/>
    <w:qFormat/>
    <w:rsid w:val="00A410C5"/>
    <w:pPr>
      <w:spacing w:after="0" w:line="240" w:lineRule="auto"/>
    </w:pPr>
    <w:rPr>
      <w:rFonts w:ascii="Calibri" w:eastAsia="Calibri" w:hAnsi="Calibri" w:cs="Times New Roman"/>
    </w:rPr>
  </w:style>
  <w:style w:type="character" w:customStyle="1" w:styleId="2">
    <w:name w:val="Основен текст (2)_"/>
    <w:basedOn w:val="a0"/>
    <w:link w:val="20"/>
    <w:locked/>
    <w:rsid w:val="008503F7"/>
    <w:rPr>
      <w:spacing w:val="-10"/>
      <w:sz w:val="28"/>
      <w:szCs w:val="28"/>
      <w:shd w:val="clear" w:color="auto" w:fill="FFFFFF"/>
    </w:rPr>
  </w:style>
  <w:style w:type="paragraph" w:customStyle="1" w:styleId="20">
    <w:name w:val="Основен текст (2)"/>
    <w:basedOn w:val="a"/>
    <w:link w:val="2"/>
    <w:rsid w:val="008503F7"/>
    <w:pPr>
      <w:widowControl w:val="0"/>
      <w:shd w:val="clear" w:color="auto" w:fill="FFFFFF"/>
      <w:spacing w:before="480" w:after="300" w:line="322" w:lineRule="exact"/>
      <w:ind w:hanging="360"/>
    </w:pPr>
    <w:rPr>
      <w:spacing w:val="-10"/>
      <w:sz w:val="28"/>
      <w:szCs w:val="28"/>
    </w:rPr>
  </w:style>
  <w:style w:type="paragraph" w:customStyle="1" w:styleId="Default">
    <w:name w:val="Default"/>
    <w:rsid w:val="008503F7"/>
    <w:pPr>
      <w:autoSpaceDE w:val="0"/>
      <w:autoSpaceDN w:val="0"/>
      <w:adjustRightInd w:val="0"/>
      <w:spacing w:after="0" w:line="240" w:lineRule="auto"/>
    </w:pPr>
    <w:rPr>
      <w:rFonts w:ascii="Arial" w:eastAsia="Microsoft Sans Serif" w:hAnsi="Arial" w:cs="Arial"/>
      <w:color w:val="000000"/>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789903">
      <w:bodyDiv w:val="1"/>
      <w:marLeft w:val="0"/>
      <w:marRight w:val="0"/>
      <w:marTop w:val="0"/>
      <w:marBottom w:val="0"/>
      <w:divBdr>
        <w:top w:val="none" w:sz="0" w:space="0" w:color="auto"/>
        <w:left w:val="none" w:sz="0" w:space="0" w:color="auto"/>
        <w:bottom w:val="none" w:sz="0" w:space="0" w:color="auto"/>
        <w:right w:val="none" w:sz="0" w:space="0" w:color="auto"/>
      </w:divBdr>
    </w:div>
    <w:div w:id="256518612">
      <w:bodyDiv w:val="1"/>
      <w:marLeft w:val="0"/>
      <w:marRight w:val="0"/>
      <w:marTop w:val="0"/>
      <w:marBottom w:val="0"/>
      <w:divBdr>
        <w:top w:val="none" w:sz="0" w:space="0" w:color="auto"/>
        <w:left w:val="none" w:sz="0" w:space="0" w:color="auto"/>
        <w:bottom w:val="none" w:sz="0" w:space="0" w:color="auto"/>
        <w:right w:val="none" w:sz="0" w:space="0" w:color="auto"/>
      </w:divBdr>
    </w:div>
    <w:div w:id="785344436">
      <w:bodyDiv w:val="1"/>
      <w:marLeft w:val="0"/>
      <w:marRight w:val="0"/>
      <w:marTop w:val="0"/>
      <w:marBottom w:val="0"/>
      <w:divBdr>
        <w:top w:val="none" w:sz="0" w:space="0" w:color="auto"/>
        <w:left w:val="none" w:sz="0" w:space="0" w:color="auto"/>
        <w:bottom w:val="none" w:sz="0" w:space="0" w:color="auto"/>
        <w:right w:val="none" w:sz="0" w:space="0" w:color="auto"/>
      </w:divBdr>
    </w:div>
    <w:div w:id="818033114">
      <w:bodyDiv w:val="1"/>
      <w:marLeft w:val="0"/>
      <w:marRight w:val="0"/>
      <w:marTop w:val="0"/>
      <w:marBottom w:val="0"/>
      <w:divBdr>
        <w:top w:val="none" w:sz="0" w:space="0" w:color="auto"/>
        <w:left w:val="none" w:sz="0" w:space="0" w:color="auto"/>
        <w:bottom w:val="none" w:sz="0" w:space="0" w:color="auto"/>
        <w:right w:val="none" w:sz="0" w:space="0" w:color="auto"/>
      </w:divBdr>
    </w:div>
    <w:div w:id="957221787">
      <w:bodyDiv w:val="1"/>
      <w:marLeft w:val="0"/>
      <w:marRight w:val="0"/>
      <w:marTop w:val="0"/>
      <w:marBottom w:val="0"/>
      <w:divBdr>
        <w:top w:val="none" w:sz="0" w:space="0" w:color="auto"/>
        <w:left w:val="none" w:sz="0" w:space="0" w:color="auto"/>
        <w:bottom w:val="none" w:sz="0" w:space="0" w:color="auto"/>
        <w:right w:val="none" w:sz="0" w:space="0" w:color="auto"/>
      </w:divBdr>
      <w:divsChild>
        <w:div w:id="2135250915">
          <w:marLeft w:val="0"/>
          <w:marRight w:val="0"/>
          <w:marTop w:val="0"/>
          <w:marBottom w:val="0"/>
          <w:divBdr>
            <w:top w:val="none" w:sz="0" w:space="0" w:color="auto"/>
            <w:left w:val="none" w:sz="0" w:space="0" w:color="auto"/>
            <w:bottom w:val="none" w:sz="0" w:space="0" w:color="auto"/>
            <w:right w:val="none" w:sz="0" w:space="0" w:color="auto"/>
          </w:divBdr>
        </w:div>
        <w:div w:id="824393132">
          <w:marLeft w:val="0"/>
          <w:marRight w:val="0"/>
          <w:marTop w:val="0"/>
          <w:marBottom w:val="0"/>
          <w:divBdr>
            <w:top w:val="none" w:sz="0" w:space="0" w:color="auto"/>
            <w:left w:val="none" w:sz="0" w:space="0" w:color="auto"/>
            <w:bottom w:val="none" w:sz="0" w:space="0" w:color="auto"/>
            <w:right w:val="none" w:sz="0" w:space="0" w:color="auto"/>
          </w:divBdr>
        </w:div>
        <w:div w:id="303580149">
          <w:marLeft w:val="0"/>
          <w:marRight w:val="0"/>
          <w:marTop w:val="0"/>
          <w:marBottom w:val="0"/>
          <w:divBdr>
            <w:top w:val="none" w:sz="0" w:space="0" w:color="auto"/>
            <w:left w:val="none" w:sz="0" w:space="0" w:color="auto"/>
            <w:bottom w:val="none" w:sz="0" w:space="0" w:color="auto"/>
            <w:right w:val="none" w:sz="0" w:space="0" w:color="auto"/>
          </w:divBdr>
        </w:div>
        <w:div w:id="549462719">
          <w:marLeft w:val="0"/>
          <w:marRight w:val="0"/>
          <w:marTop w:val="0"/>
          <w:marBottom w:val="0"/>
          <w:divBdr>
            <w:top w:val="none" w:sz="0" w:space="0" w:color="auto"/>
            <w:left w:val="none" w:sz="0" w:space="0" w:color="auto"/>
            <w:bottom w:val="none" w:sz="0" w:space="0" w:color="auto"/>
            <w:right w:val="none" w:sz="0" w:space="0" w:color="auto"/>
          </w:divBdr>
        </w:div>
        <w:div w:id="54395105">
          <w:marLeft w:val="0"/>
          <w:marRight w:val="0"/>
          <w:marTop w:val="0"/>
          <w:marBottom w:val="0"/>
          <w:divBdr>
            <w:top w:val="none" w:sz="0" w:space="0" w:color="auto"/>
            <w:left w:val="none" w:sz="0" w:space="0" w:color="auto"/>
            <w:bottom w:val="none" w:sz="0" w:space="0" w:color="auto"/>
            <w:right w:val="none" w:sz="0" w:space="0" w:color="auto"/>
          </w:divBdr>
        </w:div>
        <w:div w:id="1389301328">
          <w:marLeft w:val="0"/>
          <w:marRight w:val="0"/>
          <w:marTop w:val="0"/>
          <w:marBottom w:val="0"/>
          <w:divBdr>
            <w:top w:val="none" w:sz="0" w:space="0" w:color="auto"/>
            <w:left w:val="none" w:sz="0" w:space="0" w:color="auto"/>
            <w:bottom w:val="none" w:sz="0" w:space="0" w:color="auto"/>
            <w:right w:val="none" w:sz="0" w:space="0" w:color="auto"/>
          </w:divBdr>
        </w:div>
        <w:div w:id="741605886">
          <w:marLeft w:val="0"/>
          <w:marRight w:val="0"/>
          <w:marTop w:val="0"/>
          <w:marBottom w:val="0"/>
          <w:divBdr>
            <w:top w:val="none" w:sz="0" w:space="0" w:color="auto"/>
            <w:left w:val="none" w:sz="0" w:space="0" w:color="auto"/>
            <w:bottom w:val="none" w:sz="0" w:space="0" w:color="auto"/>
            <w:right w:val="none" w:sz="0" w:space="0" w:color="auto"/>
          </w:divBdr>
        </w:div>
        <w:div w:id="1921912042">
          <w:marLeft w:val="0"/>
          <w:marRight w:val="0"/>
          <w:marTop w:val="0"/>
          <w:marBottom w:val="0"/>
          <w:divBdr>
            <w:top w:val="none" w:sz="0" w:space="0" w:color="auto"/>
            <w:left w:val="none" w:sz="0" w:space="0" w:color="auto"/>
            <w:bottom w:val="none" w:sz="0" w:space="0" w:color="auto"/>
            <w:right w:val="none" w:sz="0" w:space="0" w:color="auto"/>
          </w:divBdr>
        </w:div>
        <w:div w:id="2084987406">
          <w:marLeft w:val="0"/>
          <w:marRight w:val="0"/>
          <w:marTop w:val="0"/>
          <w:marBottom w:val="0"/>
          <w:divBdr>
            <w:top w:val="none" w:sz="0" w:space="0" w:color="auto"/>
            <w:left w:val="none" w:sz="0" w:space="0" w:color="auto"/>
            <w:bottom w:val="none" w:sz="0" w:space="0" w:color="auto"/>
            <w:right w:val="none" w:sz="0" w:space="0" w:color="auto"/>
          </w:divBdr>
        </w:div>
        <w:div w:id="1581477336">
          <w:marLeft w:val="0"/>
          <w:marRight w:val="0"/>
          <w:marTop w:val="0"/>
          <w:marBottom w:val="0"/>
          <w:divBdr>
            <w:top w:val="none" w:sz="0" w:space="0" w:color="auto"/>
            <w:left w:val="none" w:sz="0" w:space="0" w:color="auto"/>
            <w:bottom w:val="none" w:sz="0" w:space="0" w:color="auto"/>
            <w:right w:val="none" w:sz="0" w:space="0" w:color="auto"/>
          </w:divBdr>
        </w:div>
        <w:div w:id="409889178">
          <w:marLeft w:val="0"/>
          <w:marRight w:val="0"/>
          <w:marTop w:val="0"/>
          <w:marBottom w:val="0"/>
          <w:divBdr>
            <w:top w:val="none" w:sz="0" w:space="0" w:color="auto"/>
            <w:left w:val="none" w:sz="0" w:space="0" w:color="auto"/>
            <w:bottom w:val="none" w:sz="0" w:space="0" w:color="auto"/>
            <w:right w:val="none" w:sz="0" w:space="0" w:color="auto"/>
          </w:divBdr>
        </w:div>
        <w:div w:id="1882747456">
          <w:marLeft w:val="0"/>
          <w:marRight w:val="0"/>
          <w:marTop w:val="0"/>
          <w:marBottom w:val="0"/>
          <w:divBdr>
            <w:top w:val="none" w:sz="0" w:space="0" w:color="auto"/>
            <w:left w:val="none" w:sz="0" w:space="0" w:color="auto"/>
            <w:bottom w:val="none" w:sz="0" w:space="0" w:color="auto"/>
            <w:right w:val="none" w:sz="0" w:space="0" w:color="auto"/>
          </w:divBdr>
        </w:div>
        <w:div w:id="580217983">
          <w:marLeft w:val="0"/>
          <w:marRight w:val="0"/>
          <w:marTop w:val="0"/>
          <w:marBottom w:val="0"/>
          <w:divBdr>
            <w:top w:val="none" w:sz="0" w:space="0" w:color="auto"/>
            <w:left w:val="none" w:sz="0" w:space="0" w:color="auto"/>
            <w:bottom w:val="none" w:sz="0" w:space="0" w:color="auto"/>
            <w:right w:val="none" w:sz="0" w:space="0" w:color="auto"/>
          </w:divBdr>
        </w:div>
        <w:div w:id="1676573899">
          <w:marLeft w:val="0"/>
          <w:marRight w:val="0"/>
          <w:marTop w:val="0"/>
          <w:marBottom w:val="0"/>
          <w:divBdr>
            <w:top w:val="none" w:sz="0" w:space="0" w:color="auto"/>
            <w:left w:val="none" w:sz="0" w:space="0" w:color="auto"/>
            <w:bottom w:val="none" w:sz="0" w:space="0" w:color="auto"/>
            <w:right w:val="none" w:sz="0" w:space="0" w:color="auto"/>
          </w:divBdr>
        </w:div>
        <w:div w:id="307704982">
          <w:marLeft w:val="0"/>
          <w:marRight w:val="0"/>
          <w:marTop w:val="0"/>
          <w:marBottom w:val="0"/>
          <w:divBdr>
            <w:top w:val="none" w:sz="0" w:space="0" w:color="auto"/>
            <w:left w:val="none" w:sz="0" w:space="0" w:color="auto"/>
            <w:bottom w:val="none" w:sz="0" w:space="0" w:color="auto"/>
            <w:right w:val="none" w:sz="0" w:space="0" w:color="auto"/>
          </w:divBdr>
        </w:div>
        <w:div w:id="1661426335">
          <w:marLeft w:val="0"/>
          <w:marRight w:val="0"/>
          <w:marTop w:val="0"/>
          <w:marBottom w:val="0"/>
          <w:divBdr>
            <w:top w:val="none" w:sz="0" w:space="0" w:color="auto"/>
            <w:left w:val="none" w:sz="0" w:space="0" w:color="auto"/>
            <w:bottom w:val="none" w:sz="0" w:space="0" w:color="auto"/>
            <w:right w:val="none" w:sz="0" w:space="0" w:color="auto"/>
          </w:divBdr>
        </w:div>
        <w:div w:id="662585953">
          <w:marLeft w:val="0"/>
          <w:marRight w:val="0"/>
          <w:marTop w:val="0"/>
          <w:marBottom w:val="0"/>
          <w:divBdr>
            <w:top w:val="none" w:sz="0" w:space="0" w:color="auto"/>
            <w:left w:val="none" w:sz="0" w:space="0" w:color="auto"/>
            <w:bottom w:val="none" w:sz="0" w:space="0" w:color="auto"/>
            <w:right w:val="none" w:sz="0" w:space="0" w:color="auto"/>
          </w:divBdr>
        </w:div>
        <w:div w:id="727655656">
          <w:marLeft w:val="0"/>
          <w:marRight w:val="0"/>
          <w:marTop w:val="0"/>
          <w:marBottom w:val="0"/>
          <w:divBdr>
            <w:top w:val="none" w:sz="0" w:space="0" w:color="auto"/>
            <w:left w:val="none" w:sz="0" w:space="0" w:color="auto"/>
            <w:bottom w:val="none" w:sz="0" w:space="0" w:color="auto"/>
            <w:right w:val="none" w:sz="0" w:space="0" w:color="auto"/>
          </w:divBdr>
        </w:div>
        <w:div w:id="1480919953">
          <w:marLeft w:val="0"/>
          <w:marRight w:val="0"/>
          <w:marTop w:val="0"/>
          <w:marBottom w:val="0"/>
          <w:divBdr>
            <w:top w:val="none" w:sz="0" w:space="0" w:color="auto"/>
            <w:left w:val="none" w:sz="0" w:space="0" w:color="auto"/>
            <w:bottom w:val="none" w:sz="0" w:space="0" w:color="auto"/>
            <w:right w:val="none" w:sz="0" w:space="0" w:color="auto"/>
          </w:divBdr>
        </w:div>
        <w:div w:id="1214543811">
          <w:marLeft w:val="0"/>
          <w:marRight w:val="0"/>
          <w:marTop w:val="0"/>
          <w:marBottom w:val="0"/>
          <w:divBdr>
            <w:top w:val="none" w:sz="0" w:space="0" w:color="auto"/>
            <w:left w:val="none" w:sz="0" w:space="0" w:color="auto"/>
            <w:bottom w:val="none" w:sz="0" w:space="0" w:color="auto"/>
            <w:right w:val="none" w:sz="0" w:space="0" w:color="auto"/>
          </w:divBdr>
        </w:div>
        <w:div w:id="503591949">
          <w:marLeft w:val="0"/>
          <w:marRight w:val="0"/>
          <w:marTop w:val="0"/>
          <w:marBottom w:val="0"/>
          <w:divBdr>
            <w:top w:val="none" w:sz="0" w:space="0" w:color="auto"/>
            <w:left w:val="none" w:sz="0" w:space="0" w:color="auto"/>
            <w:bottom w:val="none" w:sz="0" w:space="0" w:color="auto"/>
            <w:right w:val="none" w:sz="0" w:space="0" w:color="auto"/>
          </w:divBdr>
        </w:div>
        <w:div w:id="1770157022">
          <w:marLeft w:val="0"/>
          <w:marRight w:val="0"/>
          <w:marTop w:val="0"/>
          <w:marBottom w:val="0"/>
          <w:divBdr>
            <w:top w:val="none" w:sz="0" w:space="0" w:color="auto"/>
            <w:left w:val="none" w:sz="0" w:space="0" w:color="auto"/>
            <w:bottom w:val="none" w:sz="0" w:space="0" w:color="auto"/>
            <w:right w:val="none" w:sz="0" w:space="0" w:color="auto"/>
          </w:divBdr>
        </w:div>
        <w:div w:id="905335701">
          <w:marLeft w:val="0"/>
          <w:marRight w:val="0"/>
          <w:marTop w:val="0"/>
          <w:marBottom w:val="0"/>
          <w:divBdr>
            <w:top w:val="none" w:sz="0" w:space="0" w:color="auto"/>
            <w:left w:val="none" w:sz="0" w:space="0" w:color="auto"/>
            <w:bottom w:val="none" w:sz="0" w:space="0" w:color="auto"/>
            <w:right w:val="none" w:sz="0" w:space="0" w:color="auto"/>
          </w:divBdr>
        </w:div>
        <w:div w:id="273706562">
          <w:marLeft w:val="0"/>
          <w:marRight w:val="0"/>
          <w:marTop w:val="0"/>
          <w:marBottom w:val="0"/>
          <w:divBdr>
            <w:top w:val="none" w:sz="0" w:space="0" w:color="auto"/>
            <w:left w:val="none" w:sz="0" w:space="0" w:color="auto"/>
            <w:bottom w:val="none" w:sz="0" w:space="0" w:color="auto"/>
            <w:right w:val="none" w:sz="0" w:space="0" w:color="auto"/>
          </w:divBdr>
        </w:div>
        <w:div w:id="77410259">
          <w:marLeft w:val="0"/>
          <w:marRight w:val="0"/>
          <w:marTop w:val="0"/>
          <w:marBottom w:val="0"/>
          <w:divBdr>
            <w:top w:val="none" w:sz="0" w:space="0" w:color="auto"/>
            <w:left w:val="none" w:sz="0" w:space="0" w:color="auto"/>
            <w:bottom w:val="none" w:sz="0" w:space="0" w:color="auto"/>
            <w:right w:val="none" w:sz="0" w:space="0" w:color="auto"/>
          </w:divBdr>
        </w:div>
        <w:div w:id="1356692693">
          <w:marLeft w:val="0"/>
          <w:marRight w:val="0"/>
          <w:marTop w:val="0"/>
          <w:marBottom w:val="0"/>
          <w:divBdr>
            <w:top w:val="none" w:sz="0" w:space="0" w:color="auto"/>
            <w:left w:val="none" w:sz="0" w:space="0" w:color="auto"/>
            <w:bottom w:val="none" w:sz="0" w:space="0" w:color="auto"/>
            <w:right w:val="none" w:sz="0" w:space="0" w:color="auto"/>
          </w:divBdr>
        </w:div>
        <w:div w:id="461074951">
          <w:marLeft w:val="0"/>
          <w:marRight w:val="0"/>
          <w:marTop w:val="0"/>
          <w:marBottom w:val="0"/>
          <w:divBdr>
            <w:top w:val="none" w:sz="0" w:space="0" w:color="auto"/>
            <w:left w:val="none" w:sz="0" w:space="0" w:color="auto"/>
            <w:bottom w:val="none" w:sz="0" w:space="0" w:color="auto"/>
            <w:right w:val="none" w:sz="0" w:space="0" w:color="auto"/>
          </w:divBdr>
        </w:div>
        <w:div w:id="435946380">
          <w:marLeft w:val="0"/>
          <w:marRight w:val="0"/>
          <w:marTop w:val="0"/>
          <w:marBottom w:val="0"/>
          <w:divBdr>
            <w:top w:val="none" w:sz="0" w:space="0" w:color="auto"/>
            <w:left w:val="none" w:sz="0" w:space="0" w:color="auto"/>
            <w:bottom w:val="none" w:sz="0" w:space="0" w:color="auto"/>
            <w:right w:val="none" w:sz="0" w:space="0" w:color="auto"/>
          </w:divBdr>
        </w:div>
        <w:div w:id="163323357">
          <w:marLeft w:val="0"/>
          <w:marRight w:val="0"/>
          <w:marTop w:val="0"/>
          <w:marBottom w:val="0"/>
          <w:divBdr>
            <w:top w:val="none" w:sz="0" w:space="0" w:color="auto"/>
            <w:left w:val="none" w:sz="0" w:space="0" w:color="auto"/>
            <w:bottom w:val="none" w:sz="0" w:space="0" w:color="auto"/>
            <w:right w:val="none" w:sz="0" w:space="0" w:color="auto"/>
          </w:divBdr>
        </w:div>
        <w:div w:id="815344235">
          <w:marLeft w:val="0"/>
          <w:marRight w:val="0"/>
          <w:marTop w:val="0"/>
          <w:marBottom w:val="0"/>
          <w:divBdr>
            <w:top w:val="none" w:sz="0" w:space="0" w:color="auto"/>
            <w:left w:val="none" w:sz="0" w:space="0" w:color="auto"/>
            <w:bottom w:val="none" w:sz="0" w:space="0" w:color="auto"/>
            <w:right w:val="none" w:sz="0" w:space="0" w:color="auto"/>
          </w:divBdr>
        </w:div>
        <w:div w:id="1705279206">
          <w:marLeft w:val="0"/>
          <w:marRight w:val="0"/>
          <w:marTop w:val="0"/>
          <w:marBottom w:val="0"/>
          <w:divBdr>
            <w:top w:val="none" w:sz="0" w:space="0" w:color="auto"/>
            <w:left w:val="none" w:sz="0" w:space="0" w:color="auto"/>
            <w:bottom w:val="none" w:sz="0" w:space="0" w:color="auto"/>
            <w:right w:val="none" w:sz="0" w:space="0" w:color="auto"/>
          </w:divBdr>
        </w:div>
        <w:div w:id="1552577101">
          <w:marLeft w:val="0"/>
          <w:marRight w:val="0"/>
          <w:marTop w:val="0"/>
          <w:marBottom w:val="0"/>
          <w:divBdr>
            <w:top w:val="none" w:sz="0" w:space="0" w:color="auto"/>
            <w:left w:val="none" w:sz="0" w:space="0" w:color="auto"/>
            <w:bottom w:val="none" w:sz="0" w:space="0" w:color="auto"/>
            <w:right w:val="none" w:sz="0" w:space="0" w:color="auto"/>
          </w:divBdr>
        </w:div>
        <w:div w:id="355546844">
          <w:marLeft w:val="0"/>
          <w:marRight w:val="0"/>
          <w:marTop w:val="0"/>
          <w:marBottom w:val="0"/>
          <w:divBdr>
            <w:top w:val="none" w:sz="0" w:space="0" w:color="auto"/>
            <w:left w:val="none" w:sz="0" w:space="0" w:color="auto"/>
            <w:bottom w:val="none" w:sz="0" w:space="0" w:color="auto"/>
            <w:right w:val="none" w:sz="0" w:space="0" w:color="auto"/>
          </w:divBdr>
        </w:div>
        <w:div w:id="703748456">
          <w:marLeft w:val="0"/>
          <w:marRight w:val="0"/>
          <w:marTop w:val="0"/>
          <w:marBottom w:val="0"/>
          <w:divBdr>
            <w:top w:val="none" w:sz="0" w:space="0" w:color="auto"/>
            <w:left w:val="none" w:sz="0" w:space="0" w:color="auto"/>
            <w:bottom w:val="none" w:sz="0" w:space="0" w:color="auto"/>
            <w:right w:val="none" w:sz="0" w:space="0" w:color="auto"/>
          </w:divBdr>
        </w:div>
        <w:div w:id="315843074">
          <w:marLeft w:val="0"/>
          <w:marRight w:val="0"/>
          <w:marTop w:val="0"/>
          <w:marBottom w:val="0"/>
          <w:divBdr>
            <w:top w:val="none" w:sz="0" w:space="0" w:color="auto"/>
            <w:left w:val="none" w:sz="0" w:space="0" w:color="auto"/>
            <w:bottom w:val="none" w:sz="0" w:space="0" w:color="auto"/>
            <w:right w:val="none" w:sz="0" w:space="0" w:color="auto"/>
          </w:divBdr>
        </w:div>
        <w:div w:id="6643813">
          <w:marLeft w:val="0"/>
          <w:marRight w:val="0"/>
          <w:marTop w:val="0"/>
          <w:marBottom w:val="0"/>
          <w:divBdr>
            <w:top w:val="none" w:sz="0" w:space="0" w:color="auto"/>
            <w:left w:val="none" w:sz="0" w:space="0" w:color="auto"/>
            <w:bottom w:val="none" w:sz="0" w:space="0" w:color="auto"/>
            <w:right w:val="none" w:sz="0" w:space="0" w:color="auto"/>
          </w:divBdr>
        </w:div>
        <w:div w:id="615530184">
          <w:marLeft w:val="0"/>
          <w:marRight w:val="0"/>
          <w:marTop w:val="0"/>
          <w:marBottom w:val="0"/>
          <w:divBdr>
            <w:top w:val="none" w:sz="0" w:space="0" w:color="auto"/>
            <w:left w:val="none" w:sz="0" w:space="0" w:color="auto"/>
            <w:bottom w:val="none" w:sz="0" w:space="0" w:color="auto"/>
            <w:right w:val="none" w:sz="0" w:space="0" w:color="auto"/>
          </w:divBdr>
        </w:div>
        <w:div w:id="157235984">
          <w:marLeft w:val="0"/>
          <w:marRight w:val="0"/>
          <w:marTop w:val="0"/>
          <w:marBottom w:val="0"/>
          <w:divBdr>
            <w:top w:val="none" w:sz="0" w:space="0" w:color="auto"/>
            <w:left w:val="none" w:sz="0" w:space="0" w:color="auto"/>
            <w:bottom w:val="none" w:sz="0" w:space="0" w:color="auto"/>
            <w:right w:val="none" w:sz="0" w:space="0" w:color="auto"/>
          </w:divBdr>
        </w:div>
        <w:div w:id="1862553006">
          <w:marLeft w:val="0"/>
          <w:marRight w:val="0"/>
          <w:marTop w:val="0"/>
          <w:marBottom w:val="0"/>
          <w:divBdr>
            <w:top w:val="none" w:sz="0" w:space="0" w:color="auto"/>
            <w:left w:val="none" w:sz="0" w:space="0" w:color="auto"/>
            <w:bottom w:val="none" w:sz="0" w:space="0" w:color="auto"/>
            <w:right w:val="none" w:sz="0" w:space="0" w:color="auto"/>
          </w:divBdr>
        </w:div>
        <w:div w:id="897786548">
          <w:marLeft w:val="0"/>
          <w:marRight w:val="0"/>
          <w:marTop w:val="0"/>
          <w:marBottom w:val="0"/>
          <w:divBdr>
            <w:top w:val="none" w:sz="0" w:space="0" w:color="auto"/>
            <w:left w:val="none" w:sz="0" w:space="0" w:color="auto"/>
            <w:bottom w:val="none" w:sz="0" w:space="0" w:color="auto"/>
            <w:right w:val="none" w:sz="0" w:space="0" w:color="auto"/>
          </w:divBdr>
        </w:div>
        <w:div w:id="1540430823">
          <w:marLeft w:val="0"/>
          <w:marRight w:val="0"/>
          <w:marTop w:val="0"/>
          <w:marBottom w:val="0"/>
          <w:divBdr>
            <w:top w:val="none" w:sz="0" w:space="0" w:color="auto"/>
            <w:left w:val="none" w:sz="0" w:space="0" w:color="auto"/>
            <w:bottom w:val="none" w:sz="0" w:space="0" w:color="auto"/>
            <w:right w:val="none" w:sz="0" w:space="0" w:color="auto"/>
          </w:divBdr>
        </w:div>
        <w:div w:id="1941448772">
          <w:marLeft w:val="0"/>
          <w:marRight w:val="0"/>
          <w:marTop w:val="0"/>
          <w:marBottom w:val="0"/>
          <w:divBdr>
            <w:top w:val="none" w:sz="0" w:space="0" w:color="auto"/>
            <w:left w:val="none" w:sz="0" w:space="0" w:color="auto"/>
            <w:bottom w:val="none" w:sz="0" w:space="0" w:color="auto"/>
            <w:right w:val="none" w:sz="0" w:space="0" w:color="auto"/>
          </w:divBdr>
        </w:div>
        <w:div w:id="994146462">
          <w:marLeft w:val="0"/>
          <w:marRight w:val="0"/>
          <w:marTop w:val="0"/>
          <w:marBottom w:val="0"/>
          <w:divBdr>
            <w:top w:val="none" w:sz="0" w:space="0" w:color="auto"/>
            <w:left w:val="none" w:sz="0" w:space="0" w:color="auto"/>
            <w:bottom w:val="none" w:sz="0" w:space="0" w:color="auto"/>
            <w:right w:val="none" w:sz="0" w:space="0" w:color="auto"/>
          </w:divBdr>
        </w:div>
        <w:div w:id="19595367">
          <w:marLeft w:val="0"/>
          <w:marRight w:val="0"/>
          <w:marTop w:val="0"/>
          <w:marBottom w:val="0"/>
          <w:divBdr>
            <w:top w:val="none" w:sz="0" w:space="0" w:color="auto"/>
            <w:left w:val="none" w:sz="0" w:space="0" w:color="auto"/>
            <w:bottom w:val="none" w:sz="0" w:space="0" w:color="auto"/>
            <w:right w:val="none" w:sz="0" w:space="0" w:color="auto"/>
          </w:divBdr>
        </w:div>
        <w:div w:id="1939364890">
          <w:marLeft w:val="0"/>
          <w:marRight w:val="0"/>
          <w:marTop w:val="0"/>
          <w:marBottom w:val="0"/>
          <w:divBdr>
            <w:top w:val="none" w:sz="0" w:space="0" w:color="auto"/>
            <w:left w:val="none" w:sz="0" w:space="0" w:color="auto"/>
            <w:bottom w:val="none" w:sz="0" w:space="0" w:color="auto"/>
            <w:right w:val="none" w:sz="0" w:space="0" w:color="auto"/>
          </w:divBdr>
        </w:div>
        <w:div w:id="106775698">
          <w:marLeft w:val="0"/>
          <w:marRight w:val="0"/>
          <w:marTop w:val="0"/>
          <w:marBottom w:val="0"/>
          <w:divBdr>
            <w:top w:val="none" w:sz="0" w:space="0" w:color="auto"/>
            <w:left w:val="none" w:sz="0" w:space="0" w:color="auto"/>
            <w:bottom w:val="none" w:sz="0" w:space="0" w:color="auto"/>
            <w:right w:val="none" w:sz="0" w:space="0" w:color="auto"/>
          </w:divBdr>
        </w:div>
        <w:div w:id="995954815">
          <w:marLeft w:val="0"/>
          <w:marRight w:val="0"/>
          <w:marTop w:val="0"/>
          <w:marBottom w:val="0"/>
          <w:divBdr>
            <w:top w:val="none" w:sz="0" w:space="0" w:color="auto"/>
            <w:left w:val="none" w:sz="0" w:space="0" w:color="auto"/>
            <w:bottom w:val="none" w:sz="0" w:space="0" w:color="auto"/>
            <w:right w:val="none" w:sz="0" w:space="0" w:color="auto"/>
          </w:divBdr>
        </w:div>
        <w:div w:id="1849368721">
          <w:marLeft w:val="0"/>
          <w:marRight w:val="0"/>
          <w:marTop w:val="0"/>
          <w:marBottom w:val="0"/>
          <w:divBdr>
            <w:top w:val="none" w:sz="0" w:space="0" w:color="auto"/>
            <w:left w:val="none" w:sz="0" w:space="0" w:color="auto"/>
            <w:bottom w:val="none" w:sz="0" w:space="0" w:color="auto"/>
            <w:right w:val="none" w:sz="0" w:space="0" w:color="auto"/>
          </w:divBdr>
        </w:div>
        <w:div w:id="1735541356">
          <w:marLeft w:val="0"/>
          <w:marRight w:val="0"/>
          <w:marTop w:val="0"/>
          <w:marBottom w:val="0"/>
          <w:divBdr>
            <w:top w:val="none" w:sz="0" w:space="0" w:color="auto"/>
            <w:left w:val="none" w:sz="0" w:space="0" w:color="auto"/>
            <w:bottom w:val="none" w:sz="0" w:space="0" w:color="auto"/>
            <w:right w:val="none" w:sz="0" w:space="0" w:color="auto"/>
          </w:divBdr>
        </w:div>
        <w:div w:id="1209336867">
          <w:marLeft w:val="0"/>
          <w:marRight w:val="0"/>
          <w:marTop w:val="0"/>
          <w:marBottom w:val="0"/>
          <w:divBdr>
            <w:top w:val="none" w:sz="0" w:space="0" w:color="auto"/>
            <w:left w:val="none" w:sz="0" w:space="0" w:color="auto"/>
            <w:bottom w:val="none" w:sz="0" w:space="0" w:color="auto"/>
            <w:right w:val="none" w:sz="0" w:space="0" w:color="auto"/>
          </w:divBdr>
        </w:div>
      </w:divsChild>
    </w:div>
    <w:div w:id="1327976195">
      <w:bodyDiv w:val="1"/>
      <w:marLeft w:val="0"/>
      <w:marRight w:val="0"/>
      <w:marTop w:val="0"/>
      <w:marBottom w:val="0"/>
      <w:divBdr>
        <w:top w:val="none" w:sz="0" w:space="0" w:color="auto"/>
        <w:left w:val="none" w:sz="0" w:space="0" w:color="auto"/>
        <w:bottom w:val="none" w:sz="0" w:space="0" w:color="auto"/>
        <w:right w:val="none" w:sz="0" w:space="0" w:color="auto"/>
      </w:divBdr>
    </w:div>
    <w:div w:id="1375888148">
      <w:bodyDiv w:val="1"/>
      <w:marLeft w:val="0"/>
      <w:marRight w:val="0"/>
      <w:marTop w:val="0"/>
      <w:marBottom w:val="0"/>
      <w:divBdr>
        <w:top w:val="none" w:sz="0" w:space="0" w:color="auto"/>
        <w:left w:val="none" w:sz="0" w:space="0" w:color="auto"/>
        <w:bottom w:val="none" w:sz="0" w:space="0" w:color="auto"/>
        <w:right w:val="none" w:sz="0" w:space="0" w:color="auto"/>
      </w:divBdr>
    </w:div>
    <w:div w:id="1741781519">
      <w:bodyDiv w:val="1"/>
      <w:marLeft w:val="0"/>
      <w:marRight w:val="0"/>
      <w:marTop w:val="0"/>
      <w:marBottom w:val="0"/>
      <w:divBdr>
        <w:top w:val="none" w:sz="0" w:space="0" w:color="auto"/>
        <w:left w:val="none" w:sz="0" w:space="0" w:color="auto"/>
        <w:bottom w:val="none" w:sz="0" w:space="0" w:color="auto"/>
        <w:right w:val="none" w:sz="0" w:space="0" w:color="auto"/>
      </w:divBdr>
    </w:div>
    <w:div w:id="208964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3847</Words>
  <Characters>21929</Characters>
  <Application>Microsoft Office Word</Application>
  <DocSecurity>0</DocSecurity>
  <Lines>182</Lines>
  <Paragraphs>51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buba</dc:creator>
  <cp:keywords/>
  <dc:description/>
  <cp:lastModifiedBy>buba</cp:lastModifiedBy>
  <cp:revision>2</cp:revision>
  <dcterms:created xsi:type="dcterms:W3CDTF">2021-02-11T06:22:00Z</dcterms:created>
  <dcterms:modified xsi:type="dcterms:W3CDTF">2021-02-11T06:22:00Z</dcterms:modified>
</cp:coreProperties>
</file>